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B3F" w:rsidRDefault="00215B3F" w:rsidP="00215B3F">
      <w:pPr>
        <w:pStyle w:val="NormalWeb"/>
        <w:shd w:val="clear" w:color="auto" w:fill="FFFFFF"/>
        <w:spacing w:before="120" w:beforeAutospacing="0" w:after="120" w:afterAutospacing="0" w:line="335" w:lineRule="atLeast"/>
        <w:jc w:val="center"/>
        <w:rPr>
          <w:rFonts w:ascii="Arial" w:hAnsi="Arial" w:cs="Arial"/>
          <w:color w:val="000000"/>
          <w:sz w:val="26"/>
          <w:szCs w:val="26"/>
        </w:rPr>
      </w:pPr>
      <w:r>
        <w:rPr>
          <w:rFonts w:ascii="Arial" w:hAnsi="Arial" w:cs="Arial"/>
          <w:b/>
          <w:bCs/>
          <w:color w:val="000000"/>
          <w:sz w:val="26"/>
          <w:szCs w:val="26"/>
          <w:lang w:val="vi-VN"/>
        </w:rPr>
        <w:t>PHỤ LỤC V</w:t>
      </w:r>
    </w:p>
    <w:p w:rsidR="00215B3F" w:rsidRDefault="00215B3F" w:rsidP="00215B3F">
      <w:pPr>
        <w:pStyle w:val="NormalWeb"/>
        <w:shd w:val="clear" w:color="auto" w:fill="FFFFFF"/>
        <w:spacing w:before="120" w:beforeAutospacing="0" w:after="120" w:afterAutospacing="0" w:line="335" w:lineRule="atLeast"/>
        <w:jc w:val="center"/>
        <w:rPr>
          <w:rFonts w:ascii="Arial" w:hAnsi="Arial" w:cs="Arial"/>
          <w:color w:val="000000"/>
          <w:sz w:val="26"/>
          <w:szCs w:val="26"/>
        </w:rPr>
      </w:pPr>
      <w:r>
        <w:rPr>
          <w:rFonts w:ascii="Arial" w:hAnsi="Arial" w:cs="Arial"/>
          <w:color w:val="000000"/>
          <w:sz w:val="20"/>
          <w:szCs w:val="20"/>
        </w:rPr>
        <w:t>MẪU VĂN KIỆN DỰ ÁN HỖ TRỢ KỸ THUẬT SỬ DỤNG VỐN ODA KHÔNG HOÀN LẠI</w:t>
      </w:r>
      <w:r>
        <w:rPr>
          <w:rFonts w:ascii="Arial" w:hAnsi="Arial" w:cs="Arial"/>
          <w:color w:val="000000"/>
          <w:sz w:val="20"/>
          <w:szCs w:val="20"/>
        </w:rPr>
        <w:br/>
      </w:r>
      <w:r>
        <w:rPr>
          <w:rFonts w:ascii="Arial" w:hAnsi="Arial" w:cs="Arial"/>
          <w:i/>
          <w:iCs/>
          <w:color w:val="000000"/>
          <w:sz w:val="20"/>
          <w:szCs w:val="20"/>
        </w:rPr>
        <w:t>(Kèm theo Nghị định số 56/2020/NĐ-CP ngày 25 tháng 5 năm 2020 của Chính phủ)</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 THÔNG TIN CƠ BẢN VỀ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Tên dự án (tiếng Việt và tiếng Anh).</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Cơ quan chủ quản, đơn vị đề xuất và chủ dự án (dự kiến): Tên, địa chỉ và các thông tin liên quan khác.</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3. Nhà tài trợ và đồng tài trợ nước ngoài (nếu có) dự kiến hỗ trợ thực hiện chương trình.</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4. Thời gian dự kiến thực hiện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5. Địa điểm thực hiện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II. BỐI CẢNH VÀ SỰ CẦN THIẾT CỦA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Sự phù hợp và các đóng góp của dự án vào chiến lược, kế hoạch phát triển kinh tế - xã hội của quốc gia, quy hoạch phát triển ngành, vùng và địa phương.</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Mối quan hệ với các chương trình, dự án khác nhằm hỗ trợ giải quyết các vấn đề có liên quan của chương trình,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3. Sự cần thiết của dự án (nêu rõ những vấn đề cần giải quyết trong khuôn khổ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4. Nhu cầu hỗ trợ kỹ thuật bằng vốn ODA không hoàn lại.</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III. CƠ SỞ ĐỀ XUẤT NHÀ TÀI TRỢ NƯỚC NGOÀI</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tính phù hợp của dự án với định hướng hợp tác và lĩnh vực ưu tiên của nhà tài trợ nước ngoài; điều kiện cung cấp vốn ODA không hoàn lại của nhà tài trợ nước ngoài và khả năng đáp ứng của phía Việt Nam.</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IV. MỤC TIÊU CỦA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các mục tiêu tổng quát và cụ thể của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 MÔ TẢ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Các hợp phần, hoạt động và kết quả chủ yếu của hỗ trợ kỹ thuật; đánh giá khả năng vận dụng hỗ trợ kỹ thuật vào thực tế.</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VI. ĐỐI TƯỢNG THỤ HƯỞNG</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đối tượng thụ hưởng trực tiếp và gián tiếp của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VII. KẾ HOẠCH THỰC HIỆN, GIÁM SÁT VÀ ĐÁNH GIÁ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Kế hoạch triển khai các hành động thực hiện trước (nếu có).</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Kế hoạch tổng thể và kế hoạch chi tiết thực hiện dự án cho năm đầu tiên.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lastRenderedPageBreak/>
        <w:t>3. Kế hoạch giám sát và đánh giá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VIII. TỔ CHỨC QUẢN LÝ THỰC HIỆN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rõ hình thức tổ chức quản lý thực hiện; cơ chế phối hợp giữa các bên tham gia chuẩn bị thực hiện, thực hiện và quản lý dự án; năng lực tổ chức, quản lý thực hiện dự án của chủ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IX. TỔNG VỐN DỰ ÁN</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Nêu chi tiết theo từng cấu phần, hạng mục và dòng ngân sách đầu tư phát triển, hành chính sự nghiệp, bao gồm:</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1. Vốn ODA không hoàn lại (nguyên tệ và quy đổi ra đô la Mỹ).</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2. Vốn đối ứng (đồng Việt Nam và quy đổi ra đô la Mỹ).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3. Cơ chế tài chính.</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b/>
          <w:bCs/>
          <w:color w:val="000000"/>
          <w:sz w:val="20"/>
          <w:szCs w:val="20"/>
          <w:lang w:val="vi-VN"/>
        </w:rPr>
        <w:t>X. ĐIỀU KIỆN RÀNG BUỘC VỀ SỬ DỤNG VỐN ODA KHÔNG HOÀN LẠI CỦA NHÀ TÀI TRỢ NƯỚC NGOÀI (NẾU CÓ)</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Giải trình về những điều kiện ràng buộc về sử dụng vốn ODA không hoàn lại của nhà tài trợ nước ngoài (nếu có)./.</w:t>
      </w:r>
    </w:p>
    <w:p w:rsidR="00215B3F" w:rsidRDefault="00215B3F" w:rsidP="00215B3F">
      <w:pPr>
        <w:pStyle w:val="NormalWeb"/>
        <w:shd w:val="clear" w:color="auto" w:fill="FFFFFF"/>
        <w:spacing w:before="120" w:beforeAutospacing="0" w:after="120" w:afterAutospacing="0" w:line="335" w:lineRule="atLeast"/>
        <w:rPr>
          <w:rFonts w:ascii="Arial" w:hAnsi="Arial" w:cs="Arial"/>
          <w:color w:val="000000"/>
          <w:sz w:val="26"/>
          <w:szCs w:val="26"/>
        </w:rPr>
      </w:pPr>
      <w:r>
        <w:rPr>
          <w:rFonts w:ascii="Arial" w:hAnsi="Arial" w:cs="Arial"/>
          <w:color w:val="000000"/>
          <w:sz w:val="20"/>
          <w:szCs w:val="20"/>
          <w:lang w:val="vi-VN"/>
        </w:rPr>
        <w:t> </w:t>
      </w:r>
    </w:p>
    <w:p w:rsidR="00D63841" w:rsidRDefault="00D63841"/>
    <w:sectPr w:rsidR="00D63841" w:rsidSect="00D638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215B3F"/>
    <w:rsid w:val="00215B3F"/>
    <w:rsid w:val="00D63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B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34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2020-06-03T04:28:00Z</dcterms:created>
  <dcterms:modified xsi:type="dcterms:W3CDTF">2020-06-03T04:28:00Z</dcterms:modified>
</cp:coreProperties>
</file>