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D657B" w14:textId="77777777" w:rsidR="000D0C2A" w:rsidRPr="00BC2D75" w:rsidRDefault="000D0C2A" w:rsidP="000D0C2A">
      <w:pPr>
        <w:spacing w:before="120" w:after="120"/>
        <w:ind w:firstLine="720"/>
        <w:jc w:val="both"/>
        <w:rPr>
          <w:b/>
          <w:lang w:val="nl-NL"/>
        </w:rPr>
      </w:pPr>
      <w:r>
        <w:rPr>
          <w:b/>
          <w:lang w:val="nl-NL"/>
        </w:rPr>
        <w:t>67</w:t>
      </w:r>
      <w:r w:rsidRPr="00BC2D75">
        <w:rPr>
          <w:b/>
          <w:lang w:val="nl-NL"/>
        </w:rPr>
        <w:t>. Khai quyết toán thuế tài nguyên (trừ dầu thô, khí thiên nhiên).</w:t>
      </w:r>
    </w:p>
    <w:p w14:paraId="3A1B2A87" w14:textId="77777777" w:rsidR="000D0C2A" w:rsidRPr="00BC2D75" w:rsidRDefault="000D0C2A" w:rsidP="000D0C2A">
      <w:pPr>
        <w:spacing w:before="120" w:after="120"/>
        <w:ind w:left="720"/>
        <w:jc w:val="both"/>
        <w:rPr>
          <w:b/>
          <w:lang w:val="nl-NL"/>
        </w:rPr>
      </w:pPr>
      <w:r w:rsidRPr="00BC2D75">
        <w:rPr>
          <w:b/>
          <w:lang w:val="nl-NL"/>
        </w:rPr>
        <w:t xml:space="preserve">- Trình tự thực hiện: </w:t>
      </w:r>
    </w:p>
    <w:p w14:paraId="3F3B46D9" w14:textId="77777777" w:rsidR="000D0C2A" w:rsidRPr="00BC2D75" w:rsidRDefault="000D0C2A" w:rsidP="000D0C2A">
      <w:pPr>
        <w:spacing w:before="120" w:after="120"/>
        <w:ind w:left="720"/>
        <w:jc w:val="both"/>
        <w:rPr>
          <w:lang w:val="nl-NL"/>
        </w:rPr>
      </w:pPr>
      <w:r w:rsidRPr="00BC2D75">
        <w:rPr>
          <w:b/>
          <w:lang w:val="nl-NL"/>
        </w:rPr>
        <w:t xml:space="preserve">+ </w:t>
      </w:r>
      <w:r w:rsidRPr="00BC2D75">
        <w:rPr>
          <w:lang w:val="nl-NL"/>
        </w:rPr>
        <w:t>Bước 1:</w:t>
      </w:r>
    </w:p>
    <w:p w14:paraId="6019C973" w14:textId="77777777" w:rsidR="000D0C2A" w:rsidRPr="00BC2D75" w:rsidRDefault="000D0C2A" w:rsidP="000D0C2A">
      <w:pPr>
        <w:spacing w:before="120" w:after="120"/>
        <w:ind w:right="-204" w:firstLine="720"/>
        <w:jc w:val="both"/>
        <w:rPr>
          <w:lang w:val="nl-NL"/>
        </w:rPr>
      </w:pPr>
      <w:r w:rsidRPr="00BC2D75">
        <w:rPr>
          <w:lang w:val="nl-NL"/>
        </w:rPr>
        <w:t xml:space="preserve">++ </w:t>
      </w:r>
      <w:r w:rsidRPr="00BC2D75">
        <w:rPr>
          <w:lang w:val="am-ET"/>
        </w:rPr>
        <w:t xml:space="preserve">Tổ chức, cá nhân khai thác, thu mua tài nguyên thiên nhiên </w:t>
      </w:r>
      <w:r w:rsidRPr="00BC2D75">
        <w:rPr>
          <w:lang w:val="nl-NL"/>
        </w:rPr>
        <w:t>lập</w:t>
      </w:r>
      <w:r w:rsidRPr="00BC2D75">
        <w:rPr>
          <w:lang w:val="am-ET"/>
        </w:rPr>
        <w:t xml:space="preserve"> hồ sơ khai quyết toán thuế tài nguyên </w:t>
      </w:r>
      <w:r w:rsidRPr="00BC2D75">
        <w:rPr>
          <w:lang w:val="nl-NL"/>
        </w:rPr>
        <w:t>và gửi đến</w:t>
      </w:r>
      <w:r w:rsidRPr="00BC2D75">
        <w:rPr>
          <w:lang w:val="am-ET"/>
        </w:rPr>
        <w:t xml:space="preserve"> cơ quan thuế quản lý trực tiếp</w:t>
      </w:r>
      <w:r w:rsidRPr="00BC2D75">
        <w:rPr>
          <w:lang w:val="nl-NL"/>
        </w:rPr>
        <w:t>.</w:t>
      </w:r>
    </w:p>
    <w:p w14:paraId="585219B7" w14:textId="77777777" w:rsidR="000D0C2A" w:rsidRPr="00BC2D75" w:rsidRDefault="000D0C2A" w:rsidP="000D0C2A">
      <w:pPr>
        <w:spacing w:before="120" w:after="120"/>
        <w:ind w:right="32" w:firstLine="720"/>
        <w:jc w:val="both"/>
        <w:rPr>
          <w:lang w:val="nl-NL"/>
        </w:rPr>
      </w:pPr>
      <w:r w:rsidRPr="00BC2D75">
        <w:rPr>
          <w:lang w:val="nl-NL"/>
        </w:rPr>
        <w:t xml:space="preserve">++ </w:t>
      </w:r>
      <w:r w:rsidRPr="00BC2D75">
        <w:rPr>
          <w:lang w:val="vi-VN"/>
        </w:rPr>
        <w:t xml:space="preserve">Tổ chức được giao bán loại tài nguyên thiên nhiên bị bắt giữ, tịch thu thực hiện </w:t>
      </w:r>
      <w:r w:rsidRPr="00BC2D75">
        <w:rPr>
          <w:lang w:val="am-ET"/>
        </w:rPr>
        <w:t>lập</w:t>
      </w:r>
      <w:r w:rsidRPr="00BC2D75">
        <w:rPr>
          <w:lang w:val="vi-VN"/>
        </w:rPr>
        <w:t xml:space="preserve"> hồ sơ khai </w:t>
      </w:r>
      <w:r w:rsidRPr="00BC2D75">
        <w:rPr>
          <w:lang w:val="am-ET"/>
        </w:rPr>
        <w:t xml:space="preserve">quyết toán </w:t>
      </w:r>
      <w:r w:rsidRPr="00BC2D75">
        <w:rPr>
          <w:lang w:val="vi-VN"/>
        </w:rPr>
        <w:t xml:space="preserve">thuế tài nguyên theo từng lần phát sinh </w:t>
      </w:r>
      <w:r w:rsidRPr="00BC2D75">
        <w:rPr>
          <w:lang w:val="am-ET"/>
        </w:rPr>
        <w:t>và gửi đến</w:t>
      </w:r>
      <w:r w:rsidRPr="00BC2D75">
        <w:rPr>
          <w:lang w:val="vi-VN"/>
        </w:rPr>
        <w:t xml:space="preserve"> Cục Thuế hoặc Chi cục Thuế do Cục trưởng Cục Thuế nơi bán tài nguyên quy định.</w:t>
      </w:r>
    </w:p>
    <w:p w14:paraId="60B1729F" w14:textId="77777777" w:rsidR="000D0C2A" w:rsidRPr="00BC2D75" w:rsidRDefault="000D0C2A" w:rsidP="000D0C2A">
      <w:pPr>
        <w:spacing w:before="120" w:after="120"/>
        <w:ind w:right="32" w:firstLine="720"/>
        <w:jc w:val="both"/>
        <w:rPr>
          <w:lang w:val="nl-NL"/>
        </w:rPr>
      </w:pPr>
      <w:r w:rsidRPr="00BC2D75">
        <w:rPr>
          <w:lang w:val="nl-NL"/>
        </w:rPr>
        <w:t>+ Bước 2. Cơ quan thuế thực hiện tiếp nhận:</w:t>
      </w:r>
    </w:p>
    <w:p w14:paraId="1287223E" w14:textId="77777777" w:rsidR="000D0C2A" w:rsidRPr="00BC2D75" w:rsidRDefault="000D0C2A" w:rsidP="000D0C2A">
      <w:pPr>
        <w:spacing w:after="120" w:line="254" w:lineRule="auto"/>
        <w:ind w:firstLine="567"/>
        <w:jc w:val="both"/>
        <w:rPr>
          <w:rFonts w:eastAsia="Calibri"/>
          <w:lang w:val="nl-NL"/>
        </w:rPr>
      </w:pPr>
      <w:r w:rsidRPr="00BC2D75">
        <w:rPr>
          <w:rFonts w:eastAsia="Calibri"/>
          <w:lang w:val="nl-NL"/>
        </w:rPr>
        <w:t>++ Trường hợp hồ sơ được nộp trực tiếp tại cơ quan thuế, công chức thuế tiếp nhận và đóng dấu tiếp nhận hồ sơ, ghi thời gian nhận hồ sơ, ghi nhận số lượng tài liệu trong hồ sơ và ghi vào sổ văn thư của cơ quan thuế.</w:t>
      </w:r>
    </w:p>
    <w:p w14:paraId="65396E40" w14:textId="77777777" w:rsidR="000D0C2A" w:rsidRPr="00BC2D75" w:rsidRDefault="000D0C2A" w:rsidP="000D0C2A">
      <w:pPr>
        <w:spacing w:after="120" w:line="254" w:lineRule="auto"/>
        <w:ind w:firstLine="567"/>
        <w:jc w:val="both"/>
        <w:rPr>
          <w:rFonts w:eastAsia="Calibri"/>
          <w:lang w:val="nl-NL"/>
        </w:rPr>
      </w:pPr>
      <w:r w:rsidRPr="00BC2D75">
        <w:rPr>
          <w:rFonts w:eastAsia="Calibri"/>
          <w:lang w:val="nl-NL"/>
        </w:rPr>
        <w:t>++ Trường hợp hồ sơ được gửi qua đường bưu chính, công chức thuế đóng dấu ghi ngày nhận hồ sơ và ghi vào sổ văn thư của cơ quan thuế.</w:t>
      </w:r>
    </w:p>
    <w:p w14:paraId="67478343" w14:textId="77777777" w:rsidR="000D0C2A" w:rsidRPr="00BC2D75" w:rsidRDefault="000D0C2A" w:rsidP="000D0C2A">
      <w:pPr>
        <w:spacing w:before="120" w:after="120" w:line="254" w:lineRule="auto"/>
        <w:ind w:firstLine="567"/>
        <w:jc w:val="both"/>
        <w:rPr>
          <w:rFonts w:eastAsia="Calibri"/>
          <w:lang w:val="nl-NL"/>
        </w:rPr>
      </w:pPr>
      <w:r w:rsidRPr="00BC2D75">
        <w:rPr>
          <w:rFonts w:eastAsia="Calibri"/>
          <w:lang w:val="nl-NL"/>
        </w:rPr>
        <w:t>++ Trường hợp hồ sơ được nộp thông qua giao dịch điện tử, việc tiếp nhận, kiểm tra, chấp nhận hồ sơ khai thuế do cơ quan thuế thực hiện thông qua hệ thống xử lý dữ liệu điện tử.</w:t>
      </w:r>
    </w:p>
    <w:p w14:paraId="3D837E67" w14:textId="77777777" w:rsidR="000D0C2A" w:rsidRPr="00BC2D75" w:rsidRDefault="000D0C2A" w:rsidP="000D0C2A">
      <w:pPr>
        <w:tabs>
          <w:tab w:val="left" w:pos="720"/>
          <w:tab w:val="left" w:pos="1440"/>
          <w:tab w:val="left" w:pos="2160"/>
          <w:tab w:val="left" w:pos="2880"/>
          <w:tab w:val="left" w:pos="6060"/>
        </w:tabs>
        <w:spacing w:before="120" w:after="120"/>
        <w:ind w:left="360"/>
        <w:jc w:val="both"/>
        <w:rPr>
          <w:rFonts w:eastAsia="Calibri"/>
          <w:b/>
          <w:lang w:val="vi-VN"/>
        </w:rPr>
      </w:pPr>
      <w:r w:rsidRPr="00BC2D75">
        <w:rPr>
          <w:b/>
          <w:lang w:val="vi-VN"/>
        </w:rPr>
        <w:tab/>
        <w:t>- Cách thức thực hiện:</w:t>
      </w:r>
      <w:r w:rsidRPr="00BC2D75">
        <w:rPr>
          <w:b/>
          <w:lang w:val="vi-VN"/>
        </w:rPr>
        <w:tab/>
      </w:r>
      <w:r w:rsidRPr="00BC2D75">
        <w:rPr>
          <w:b/>
          <w:lang w:val="vi-VN"/>
        </w:rPr>
        <w:tab/>
      </w:r>
    </w:p>
    <w:p w14:paraId="7894FFD2" w14:textId="77777777" w:rsidR="000D0C2A" w:rsidRPr="00BC2D75" w:rsidRDefault="000D0C2A" w:rsidP="000D0C2A">
      <w:pPr>
        <w:spacing w:before="120" w:after="120"/>
        <w:ind w:firstLine="720"/>
        <w:jc w:val="both"/>
        <w:rPr>
          <w:lang w:val="vi-VN"/>
        </w:rPr>
      </w:pPr>
      <w:r w:rsidRPr="00BC2D75">
        <w:rPr>
          <w:lang w:val="am-ET"/>
        </w:rPr>
        <w:t xml:space="preserve">+ Trực tiếp tại trụ sở cơ quan thuế </w:t>
      </w:r>
      <w:r w:rsidRPr="00BC2D75">
        <w:rPr>
          <w:lang w:val="vi-VN"/>
        </w:rPr>
        <w:t>quản lý đơn vị.</w:t>
      </w:r>
    </w:p>
    <w:p w14:paraId="0727034B" w14:textId="77777777" w:rsidR="000D0C2A" w:rsidRPr="00BC2D75" w:rsidRDefault="000D0C2A" w:rsidP="000D0C2A">
      <w:pPr>
        <w:spacing w:before="120" w:after="120"/>
        <w:ind w:firstLine="720"/>
        <w:jc w:val="both"/>
        <w:rPr>
          <w:lang w:val="am-ET"/>
        </w:rPr>
      </w:pPr>
      <w:r w:rsidRPr="00BC2D75">
        <w:rPr>
          <w:lang w:val="am-ET"/>
        </w:rPr>
        <w:t xml:space="preserve">+ </w:t>
      </w:r>
      <w:r w:rsidRPr="00BC2D75">
        <w:rPr>
          <w:lang w:val="vi-VN"/>
        </w:rPr>
        <w:t>Hoặc g</w:t>
      </w:r>
      <w:r w:rsidRPr="00BC2D75">
        <w:rPr>
          <w:lang w:val="am-ET"/>
        </w:rPr>
        <w:t>ửi qua hệ thống bưu chính.</w:t>
      </w:r>
    </w:p>
    <w:p w14:paraId="7EB60C37" w14:textId="77777777" w:rsidR="000D0C2A" w:rsidRPr="00BC2D75" w:rsidRDefault="000D0C2A" w:rsidP="000D0C2A">
      <w:pPr>
        <w:spacing w:before="120" w:after="120"/>
        <w:ind w:firstLine="720"/>
        <w:jc w:val="both"/>
        <w:rPr>
          <w:lang w:val="am-ET"/>
        </w:rPr>
      </w:pPr>
      <w:r w:rsidRPr="00BC2D75">
        <w:rPr>
          <w:lang w:val="am-ET"/>
        </w:rPr>
        <w:t>+ Hoặc gửi bằng văn bản điện tử qua cổng thông tin điện tử của cơ quan thuế.</w:t>
      </w:r>
    </w:p>
    <w:p w14:paraId="28FF8E1F" w14:textId="77777777" w:rsidR="000D0C2A" w:rsidRPr="00BC2D75" w:rsidRDefault="000D0C2A" w:rsidP="000D0C2A">
      <w:pPr>
        <w:spacing w:before="120" w:after="120"/>
        <w:ind w:left="360"/>
        <w:jc w:val="both"/>
        <w:rPr>
          <w:b/>
          <w:lang w:val="vi-VN"/>
        </w:rPr>
      </w:pPr>
      <w:r w:rsidRPr="00BC2D75">
        <w:rPr>
          <w:b/>
          <w:lang w:val="vi-VN"/>
        </w:rPr>
        <w:tab/>
        <w:t>- Thành phần, số lượng hồ sơ:</w:t>
      </w:r>
    </w:p>
    <w:p w14:paraId="6EFC03B7" w14:textId="77777777" w:rsidR="000D0C2A" w:rsidRPr="00BC2D75" w:rsidRDefault="000D0C2A" w:rsidP="000D0C2A">
      <w:pPr>
        <w:spacing w:before="120" w:after="120"/>
        <w:ind w:left="360"/>
        <w:jc w:val="both"/>
        <w:rPr>
          <w:lang w:val="vi-VN"/>
        </w:rPr>
      </w:pPr>
      <w:r w:rsidRPr="00BC2D75">
        <w:rPr>
          <w:lang w:val="vi-VN"/>
        </w:rPr>
        <w:tab/>
        <w:t>+ Thành phần hồ sơ gồm:</w:t>
      </w:r>
    </w:p>
    <w:p w14:paraId="5527761F" w14:textId="77777777" w:rsidR="000D0C2A" w:rsidRPr="00BC2D75" w:rsidRDefault="000D0C2A" w:rsidP="000D0C2A">
      <w:pPr>
        <w:spacing w:before="120" w:after="120"/>
        <w:ind w:right="32" w:firstLine="720"/>
        <w:jc w:val="both"/>
        <w:rPr>
          <w:lang w:val="vi-VN"/>
        </w:rPr>
      </w:pPr>
      <w:r w:rsidRPr="00BC2D75">
        <w:rPr>
          <w:lang w:val="vi-VN"/>
        </w:rPr>
        <w:t>++ Tờ khai quyết toán thuế tài nguyên theo mẫu số 02/TAIN ban hành kèm theo Thông tư số 156/2013/TT-BTC.</w:t>
      </w:r>
    </w:p>
    <w:p w14:paraId="65EB59CD" w14:textId="77777777" w:rsidR="000D0C2A" w:rsidRPr="00BC2D75" w:rsidRDefault="000D0C2A" w:rsidP="000D0C2A">
      <w:pPr>
        <w:spacing w:before="120" w:after="120"/>
        <w:ind w:right="32" w:firstLine="720"/>
        <w:jc w:val="both"/>
        <w:rPr>
          <w:lang w:val="vi-VN"/>
        </w:rPr>
      </w:pPr>
      <w:r w:rsidRPr="00BC2D75">
        <w:rPr>
          <w:lang w:val="vi-VN"/>
        </w:rPr>
        <w:t>++ Bảng kê,  trong đó kê khai chi tiết sản lượng khai thác trong năm theo từng mỏ tương ứng với Giấy phép được cấp (đối với hoạt động khai thác khoáng sản).</w:t>
      </w:r>
    </w:p>
    <w:p w14:paraId="10E105D0" w14:textId="77777777" w:rsidR="000D0C2A" w:rsidRPr="00BC2D75" w:rsidRDefault="000D0C2A" w:rsidP="000D0C2A">
      <w:pPr>
        <w:spacing w:before="120" w:after="120"/>
        <w:ind w:right="32" w:firstLine="720"/>
        <w:jc w:val="both"/>
        <w:rPr>
          <w:lang w:val="vi-VN"/>
        </w:rPr>
      </w:pPr>
      <w:r w:rsidRPr="00BC2D75">
        <w:rPr>
          <w:lang w:val="vi-VN"/>
        </w:rPr>
        <w:t>++ Các tài liệu liên quan đến việc miễn, giảm thuế tài nguyên kèm theo (nếu có).</w:t>
      </w:r>
    </w:p>
    <w:p w14:paraId="23A8A51A" w14:textId="77777777" w:rsidR="000D0C2A" w:rsidRPr="00BC2D75" w:rsidRDefault="000D0C2A" w:rsidP="000D0C2A">
      <w:pPr>
        <w:spacing w:before="120" w:after="120"/>
        <w:ind w:firstLine="706"/>
        <w:jc w:val="both"/>
        <w:rPr>
          <w:b/>
          <w:lang w:val="vi-VN"/>
        </w:rPr>
      </w:pPr>
      <w:r w:rsidRPr="00BC2D75">
        <w:rPr>
          <w:lang w:val="vi-VN"/>
        </w:rPr>
        <w:lastRenderedPageBreak/>
        <w:t>+ Số lượng hồ sơ:</w:t>
      </w:r>
      <w:r w:rsidRPr="00BC2D75">
        <w:rPr>
          <w:b/>
          <w:lang w:val="vi-VN"/>
        </w:rPr>
        <w:t xml:space="preserve"> </w:t>
      </w:r>
      <w:r w:rsidRPr="00BC2D75">
        <w:rPr>
          <w:lang w:val="vi-VN"/>
        </w:rPr>
        <w:t>01 bộ</w:t>
      </w:r>
    </w:p>
    <w:p w14:paraId="17D29430" w14:textId="77777777" w:rsidR="000D0C2A" w:rsidRPr="00BC2D75" w:rsidRDefault="000D0C2A" w:rsidP="000D0C2A">
      <w:pPr>
        <w:spacing w:before="120" w:after="120"/>
        <w:ind w:left="360"/>
        <w:jc w:val="both"/>
        <w:rPr>
          <w:b/>
          <w:lang w:val="am-ET"/>
        </w:rPr>
      </w:pPr>
      <w:r w:rsidRPr="00BC2D75">
        <w:rPr>
          <w:b/>
          <w:lang w:val="am-ET"/>
        </w:rPr>
        <w:t xml:space="preserve">  </w:t>
      </w:r>
      <w:r w:rsidRPr="00BC2D75">
        <w:rPr>
          <w:b/>
          <w:lang w:val="vi-VN"/>
        </w:rPr>
        <w:t xml:space="preserve">- </w:t>
      </w:r>
      <w:r w:rsidRPr="00BC2D75">
        <w:rPr>
          <w:b/>
          <w:lang w:val="am-ET"/>
        </w:rPr>
        <w:t>Thời hạn giải quyết hồ sơ:</w:t>
      </w:r>
      <w:r w:rsidRPr="00BC2D75">
        <w:rPr>
          <w:b/>
          <w:lang w:val="vi-VN"/>
        </w:rPr>
        <w:t xml:space="preserve"> </w:t>
      </w:r>
      <w:r w:rsidRPr="00BC2D75">
        <w:rPr>
          <w:lang w:val="am-ET"/>
        </w:rPr>
        <w:t xml:space="preserve">Không </w:t>
      </w:r>
      <w:r w:rsidRPr="00BC2D75">
        <w:rPr>
          <w:lang w:val="vi-VN"/>
        </w:rPr>
        <w:t xml:space="preserve">phải </w:t>
      </w:r>
      <w:r w:rsidRPr="00BC2D75">
        <w:rPr>
          <w:lang w:val="am-ET"/>
        </w:rPr>
        <w:t>trả kết quả cho người nộp thuế.</w:t>
      </w:r>
    </w:p>
    <w:p w14:paraId="048BC2B1" w14:textId="77777777" w:rsidR="000D0C2A" w:rsidRPr="00BC2D75" w:rsidRDefault="000D0C2A" w:rsidP="000D0C2A">
      <w:pPr>
        <w:spacing w:before="120" w:after="120"/>
        <w:ind w:left="360"/>
        <w:jc w:val="both"/>
        <w:rPr>
          <w:b/>
          <w:lang w:val="am-ET"/>
        </w:rPr>
      </w:pPr>
      <w:r w:rsidRPr="00BC2D75">
        <w:rPr>
          <w:lang w:val="vi-VN"/>
        </w:rPr>
        <w:t xml:space="preserve">  </w:t>
      </w:r>
      <w:r w:rsidRPr="00BC2D75">
        <w:rPr>
          <w:lang w:val="am-ET"/>
        </w:rPr>
        <w:t xml:space="preserve">- </w:t>
      </w:r>
      <w:r w:rsidRPr="00BC2D75">
        <w:rPr>
          <w:b/>
          <w:lang w:val="am-ET"/>
        </w:rPr>
        <w:t>Đối tượng thực hiện thủ tục hành chính:</w:t>
      </w:r>
      <w:r w:rsidRPr="00BC2D75">
        <w:rPr>
          <w:lang w:val="am-ET"/>
        </w:rPr>
        <w:t xml:space="preserve"> Tổ chức, cá nhân.</w:t>
      </w:r>
    </w:p>
    <w:p w14:paraId="00B8BE32" w14:textId="77777777" w:rsidR="000D0C2A" w:rsidRPr="00BC2D75" w:rsidRDefault="000D0C2A" w:rsidP="000D0C2A">
      <w:pPr>
        <w:spacing w:before="120" w:after="120"/>
        <w:ind w:left="360"/>
        <w:jc w:val="both"/>
        <w:rPr>
          <w:b/>
          <w:lang w:val="am-ET"/>
        </w:rPr>
      </w:pPr>
      <w:r w:rsidRPr="00BC2D75">
        <w:rPr>
          <w:b/>
          <w:lang w:val="vi-VN"/>
        </w:rPr>
        <w:t xml:space="preserve">  </w:t>
      </w:r>
      <w:r w:rsidRPr="00BC2D75">
        <w:rPr>
          <w:b/>
          <w:lang w:val="am-ET"/>
        </w:rPr>
        <w:t xml:space="preserve">- Cơ quan thực hiện thủ tục hành chính: </w:t>
      </w:r>
      <w:r w:rsidRPr="00BC2D75">
        <w:rPr>
          <w:lang w:val="am-ET"/>
        </w:rPr>
        <w:t>C</w:t>
      </w:r>
      <w:r w:rsidRPr="00BC2D75">
        <w:rPr>
          <w:lang w:val="vi-VN"/>
        </w:rPr>
        <w:t>hi c</w:t>
      </w:r>
      <w:r w:rsidRPr="00BC2D75">
        <w:rPr>
          <w:lang w:val="am-ET"/>
        </w:rPr>
        <w:t xml:space="preserve">ục Thuế. </w:t>
      </w:r>
    </w:p>
    <w:p w14:paraId="4A6538FD" w14:textId="77777777" w:rsidR="000D0C2A" w:rsidRPr="00BC2D75" w:rsidRDefault="000D0C2A" w:rsidP="000D0C2A">
      <w:pPr>
        <w:spacing w:before="120" w:after="120"/>
        <w:ind w:firstLine="567"/>
        <w:jc w:val="both"/>
        <w:rPr>
          <w:b/>
          <w:lang w:val="am-ET"/>
        </w:rPr>
      </w:pPr>
      <w:r w:rsidRPr="00BC2D75">
        <w:rPr>
          <w:lang w:val="am-ET"/>
        </w:rPr>
        <w:t xml:space="preserve">- </w:t>
      </w:r>
      <w:r w:rsidRPr="00BC2D75">
        <w:rPr>
          <w:b/>
          <w:lang w:val="am-ET"/>
        </w:rPr>
        <w:t xml:space="preserve">Kết quả thực hiện thủ tục hành chính: </w:t>
      </w:r>
      <w:r w:rsidRPr="00BC2D75">
        <w:rPr>
          <w:lang w:val="am-ET"/>
        </w:rPr>
        <w:t>Hồ sơ gửi đến cơ quan thuế không có kết quả giải quyết.</w:t>
      </w:r>
    </w:p>
    <w:p w14:paraId="28481DED" w14:textId="77777777" w:rsidR="000D0C2A" w:rsidRPr="00BC2D75" w:rsidRDefault="000D0C2A" w:rsidP="000D0C2A">
      <w:pPr>
        <w:spacing w:before="120" w:after="120"/>
        <w:ind w:left="360"/>
        <w:jc w:val="both"/>
        <w:rPr>
          <w:lang w:val="am-ET"/>
        </w:rPr>
      </w:pPr>
      <w:r w:rsidRPr="00BC2D75">
        <w:rPr>
          <w:lang w:val="am-ET"/>
        </w:rPr>
        <w:tab/>
        <w:t xml:space="preserve">- </w:t>
      </w:r>
      <w:r w:rsidRPr="00BC2D75">
        <w:rPr>
          <w:b/>
          <w:lang w:val="am-ET"/>
        </w:rPr>
        <w:t>Lệ phí (nếu có)</w:t>
      </w:r>
      <w:r w:rsidRPr="00BC2D75">
        <w:rPr>
          <w:lang w:val="am-ET"/>
        </w:rPr>
        <w:t>: Không có</w:t>
      </w:r>
    </w:p>
    <w:p w14:paraId="71B0CE22" w14:textId="77777777" w:rsidR="000D0C2A" w:rsidRPr="00BC2D75" w:rsidRDefault="000D0C2A" w:rsidP="000D0C2A">
      <w:pPr>
        <w:spacing w:before="120" w:after="120"/>
        <w:ind w:firstLine="360"/>
        <w:jc w:val="both"/>
        <w:rPr>
          <w:lang w:val="am-ET"/>
        </w:rPr>
      </w:pPr>
      <w:r w:rsidRPr="00BC2D75">
        <w:rPr>
          <w:lang w:val="am-ET"/>
        </w:rPr>
        <w:t xml:space="preserve">- </w:t>
      </w:r>
      <w:r w:rsidRPr="00BC2D75">
        <w:rPr>
          <w:b/>
          <w:lang w:val="am-ET"/>
        </w:rPr>
        <w:t>Tên mẫu đơn, tờ khai:</w:t>
      </w:r>
      <w:r w:rsidRPr="00BC2D75">
        <w:rPr>
          <w:lang w:val="am-ET"/>
        </w:rPr>
        <w:t xml:space="preserve"> Tờ khai quyết toán thuế tài nguyên mẫu số 02/TAIN ban hành kèm theo Thông tư số 156/2013/TT-BTC.</w:t>
      </w:r>
    </w:p>
    <w:p w14:paraId="26E0E1AB" w14:textId="77777777" w:rsidR="000D0C2A" w:rsidRPr="00BC2D75" w:rsidRDefault="000D0C2A" w:rsidP="000D0C2A">
      <w:pPr>
        <w:spacing w:before="120" w:after="120" w:line="254" w:lineRule="auto"/>
        <w:ind w:firstLine="567"/>
        <w:jc w:val="both"/>
        <w:rPr>
          <w:rFonts w:eastAsia="Calibri"/>
          <w:lang w:val="am-ET"/>
        </w:rPr>
      </w:pPr>
      <w:r w:rsidRPr="00BC2D75">
        <w:rPr>
          <w:lang w:val="am-ET"/>
        </w:rPr>
        <w:t xml:space="preserve">- </w:t>
      </w:r>
      <w:r w:rsidRPr="00BC2D75">
        <w:rPr>
          <w:b/>
          <w:lang w:val="am-ET"/>
        </w:rPr>
        <w:t>Yêu cầu, điều kiện thực hiện thủ tục hành chính</w:t>
      </w:r>
      <w:r w:rsidRPr="00BC2D75">
        <w:rPr>
          <w:lang w:val="am-ET"/>
        </w:rPr>
        <w:t>: trường hợp người nộp thuế lựa chọn và gửi hồ sơ đến cơ quan thuế thông qua giao dịch điện tử thì phải tuân thủ đúng các quy định của pháp luật về giao dịch điện tử</w:t>
      </w:r>
      <w:r w:rsidRPr="00BC2D75">
        <w:rPr>
          <w:rFonts w:eastAsia="Calibri"/>
          <w:lang w:val="am-ET"/>
        </w:rPr>
        <w:t>.</w:t>
      </w:r>
    </w:p>
    <w:p w14:paraId="1C3E2594" w14:textId="77777777" w:rsidR="000D0C2A" w:rsidRPr="00BC2D75" w:rsidRDefault="000D0C2A" w:rsidP="000D0C2A">
      <w:pPr>
        <w:spacing w:before="120" w:after="120"/>
        <w:ind w:left="360"/>
        <w:jc w:val="both"/>
        <w:rPr>
          <w:rFonts w:eastAsia="Calibri"/>
          <w:b/>
          <w:lang w:val="am-ET"/>
        </w:rPr>
      </w:pPr>
      <w:r w:rsidRPr="00BC2D75">
        <w:rPr>
          <w:lang w:val="am-ET"/>
        </w:rPr>
        <w:tab/>
        <w:t xml:space="preserve">- </w:t>
      </w:r>
      <w:r w:rsidRPr="00BC2D75">
        <w:rPr>
          <w:b/>
          <w:lang w:val="am-ET"/>
        </w:rPr>
        <w:t>Căn cứ pháp lý thực hiện thủ tục hành chính:</w:t>
      </w:r>
    </w:p>
    <w:p w14:paraId="17346B0C" w14:textId="77777777" w:rsidR="000D0C2A" w:rsidRPr="00BC2D75" w:rsidRDefault="000D0C2A" w:rsidP="000D0C2A">
      <w:pPr>
        <w:spacing w:before="120" w:after="120"/>
        <w:jc w:val="both"/>
        <w:rPr>
          <w:lang w:val="am-ET"/>
        </w:rPr>
      </w:pPr>
      <w:r w:rsidRPr="00BC2D75">
        <w:rPr>
          <w:lang w:val="am-ET"/>
        </w:rPr>
        <w:t xml:space="preserve">         + Luật Quản lý thuế số 78/2006/QH11 ngày 29 tháng 11 năm 2006;</w:t>
      </w:r>
    </w:p>
    <w:p w14:paraId="50FB5B63" w14:textId="77777777" w:rsidR="000D0C2A" w:rsidRPr="00BC2D75" w:rsidRDefault="000D0C2A" w:rsidP="000D0C2A">
      <w:pPr>
        <w:spacing w:before="120" w:after="120"/>
        <w:ind w:firstLine="567"/>
        <w:jc w:val="both"/>
        <w:rPr>
          <w:lang w:val="am-ET"/>
        </w:rPr>
      </w:pPr>
      <w:r w:rsidRPr="00BC2D75">
        <w:rPr>
          <w:lang w:val="am-ET"/>
        </w:rPr>
        <w:t xml:space="preserve"> + Luật sửa đổi, bổ sung một số điều của Luật Quản lý thuế số 21/2012/QH12 ngày 20 tháng 11 năm 2012</w:t>
      </w:r>
    </w:p>
    <w:p w14:paraId="55EDCF5D" w14:textId="77777777" w:rsidR="000D0C2A" w:rsidRPr="00BC2D75" w:rsidRDefault="000D0C2A" w:rsidP="000D0C2A">
      <w:pPr>
        <w:spacing w:before="120" w:after="120"/>
        <w:ind w:firstLine="567"/>
        <w:jc w:val="both"/>
        <w:rPr>
          <w:lang w:val="am-ET"/>
        </w:rPr>
      </w:pPr>
      <w:r w:rsidRPr="00BC2D75">
        <w:rPr>
          <w:lang w:val="am-ET"/>
        </w:rPr>
        <w:t xml:space="preserve"> + Nghị định số 83/2013/NĐ-CP ngày 22 tháng 7 năm 2013 của Chính phủ quy định chi tiết thi hành một số điều của Luật Quản lý thuế và Luật sửa đổi, bổ sung một số điều của Luật Quản lý thuế;</w:t>
      </w:r>
    </w:p>
    <w:p w14:paraId="1F38F9EE" w14:textId="77777777" w:rsidR="000D0C2A" w:rsidRPr="00BC2D75" w:rsidRDefault="000D0C2A" w:rsidP="000D0C2A">
      <w:pPr>
        <w:spacing w:before="120" w:after="120"/>
        <w:ind w:firstLine="567"/>
        <w:jc w:val="both"/>
        <w:rPr>
          <w:rFonts w:eastAsia="Times New Roman"/>
          <w:iCs/>
          <w:lang w:val="am-ET"/>
        </w:rPr>
      </w:pPr>
      <w:r w:rsidRPr="00BC2D75">
        <w:rPr>
          <w:lang w:val="am-ET"/>
        </w:rPr>
        <w:t xml:space="preserve"> + </w:t>
      </w:r>
      <w:r w:rsidRPr="00BC2D75">
        <w:rPr>
          <w:rFonts w:eastAsia="Times New Roman"/>
          <w:iCs/>
          <w:lang w:val="am-ET"/>
        </w:rPr>
        <w:t>Nghị định số </w:t>
      </w:r>
      <w:hyperlink r:id="rId4" w:tgtFrame="_blank" w:history="1">
        <w:r w:rsidRPr="00BC2D75">
          <w:rPr>
            <w:rStyle w:val="Hyperlink"/>
            <w:rFonts w:eastAsia="Times New Roman"/>
            <w:iCs/>
            <w:lang w:val="am-ET"/>
          </w:rPr>
          <w:t>50/2010/NĐ-CP</w:t>
        </w:r>
      </w:hyperlink>
      <w:r w:rsidRPr="00BC2D75">
        <w:rPr>
          <w:rFonts w:eastAsia="Times New Roman"/>
          <w:iCs/>
          <w:lang w:val="am-ET"/>
        </w:rPr>
        <w:t> ngày 14 tháng 5 năm 2010 của Chính phủ quy định chi tiết và hướng dẫn thi hành một số điều của Luật Thuế tài nguyên;</w:t>
      </w:r>
    </w:p>
    <w:p w14:paraId="67D8DC73" w14:textId="77777777" w:rsidR="000D0C2A" w:rsidRPr="00BC2D75" w:rsidRDefault="000D0C2A" w:rsidP="000D0C2A">
      <w:pPr>
        <w:spacing w:before="120" w:after="120"/>
        <w:ind w:firstLine="567"/>
        <w:jc w:val="both"/>
        <w:rPr>
          <w:rFonts w:eastAsia="Times New Roman"/>
          <w:iCs/>
          <w:lang w:val="am-ET"/>
        </w:rPr>
      </w:pPr>
      <w:r w:rsidRPr="00BC2D75">
        <w:rPr>
          <w:rFonts w:eastAsia="Times New Roman"/>
          <w:iCs/>
          <w:lang w:val="am-ET"/>
        </w:rPr>
        <w:t>+</w:t>
      </w:r>
      <w:r w:rsidRPr="00BC2D75">
        <w:rPr>
          <w:lang w:val="am-ET"/>
        </w:rPr>
        <w:t xml:space="preserve"> </w:t>
      </w:r>
      <w:r w:rsidRPr="00BC2D75">
        <w:rPr>
          <w:rFonts w:eastAsia="Times New Roman"/>
          <w:iCs/>
          <w:lang w:val="am-ET"/>
        </w:rPr>
        <w:t>Nghị định số </w:t>
      </w:r>
      <w:hyperlink r:id="rId5" w:tgtFrame="_blank" w:history="1">
        <w:r w:rsidRPr="00BC2D75">
          <w:rPr>
            <w:rStyle w:val="Hyperlink"/>
            <w:rFonts w:eastAsia="Times New Roman"/>
            <w:iCs/>
            <w:lang w:val="am-ET"/>
          </w:rPr>
          <w:t>12/2015/NĐ-CP</w:t>
        </w:r>
      </w:hyperlink>
      <w:r w:rsidRPr="00BC2D75">
        <w:rPr>
          <w:rFonts w:eastAsia="Times New Roman"/>
          <w:iCs/>
          <w:lang w:val="am-ET"/>
        </w:rPr>
        <w:t> ngày 12 tháng 02 năm 2015 của Chính phủ hướng dẫn thi hành Luật sửa đổi, bổ sung một số điều của các Luật Thuế và sửa đổi, bổ sung một số điều của các Nghị định về thuế;</w:t>
      </w:r>
    </w:p>
    <w:p w14:paraId="058E2270" w14:textId="77777777" w:rsidR="000D0C2A" w:rsidRPr="00BC2D75" w:rsidRDefault="000D0C2A" w:rsidP="000D0C2A">
      <w:pPr>
        <w:spacing w:before="120" w:after="120"/>
        <w:ind w:firstLine="567"/>
        <w:jc w:val="both"/>
        <w:rPr>
          <w:lang w:val="am-ET"/>
        </w:rPr>
      </w:pPr>
      <w:r w:rsidRPr="00BC2D75">
        <w:rPr>
          <w:lang w:val="am-ET"/>
        </w:rPr>
        <w:t>+ Thông tư số 156/2013/TT-BTC ngày 6/11/2013 của Bộ Tài chính hướng dẫn thi hành một số điều của Luật Quản lý thuế và Nghị định số 83/2013/NĐ-CP ngày 22/7/2013 của Chính phủ.</w:t>
      </w:r>
    </w:p>
    <w:p w14:paraId="38CBE36D" w14:textId="77777777" w:rsidR="000D0C2A" w:rsidRPr="00BC2D75" w:rsidRDefault="000D0C2A" w:rsidP="000D0C2A">
      <w:pPr>
        <w:spacing w:before="120" w:after="120"/>
        <w:ind w:firstLine="567"/>
        <w:jc w:val="both"/>
        <w:rPr>
          <w:rFonts w:eastAsia="Calibri"/>
          <w:lang w:val="am-ET" w:eastAsia="en-US"/>
        </w:rPr>
      </w:pPr>
      <w:r w:rsidRPr="00BC2D75">
        <w:rPr>
          <w:lang w:val="am-ET"/>
        </w:rPr>
        <w:t>+ Thông tư số 152/2015/TT-BTC ngày 02/10/2015 của Bộ Tài chính hướng dẫn về thuế tài nguyên.</w:t>
      </w:r>
    </w:p>
    <w:p w14:paraId="00E0A40B" w14:textId="77777777" w:rsidR="000D0C2A" w:rsidRPr="00BC2D75" w:rsidRDefault="000D0C2A" w:rsidP="000D0C2A">
      <w:pPr>
        <w:ind w:firstLine="567"/>
        <w:jc w:val="both"/>
        <w:rPr>
          <w:lang w:val="am-ET"/>
        </w:rPr>
      </w:pPr>
      <w:r w:rsidRPr="00BC2D75">
        <w:rPr>
          <w:lang w:val="am-ET"/>
        </w:rPr>
        <w:t xml:space="preserve"> + Thông tư số 110/2015/TT-BTC ngày 28/07/2015 của Bộ Tài chính hướng dẫn giao dịch điện tử trong lĩnh vực thuế.</w:t>
      </w:r>
    </w:p>
    <w:p w14:paraId="4501EC7F" w14:textId="77777777" w:rsidR="000D0C2A" w:rsidRPr="00BC2D75" w:rsidRDefault="000D0C2A" w:rsidP="000D0C2A">
      <w:pPr>
        <w:spacing w:before="120" w:after="120"/>
        <w:ind w:firstLine="567"/>
        <w:jc w:val="both"/>
        <w:rPr>
          <w:b/>
          <w:lang w:val="am-ET"/>
        </w:rPr>
      </w:pPr>
      <w:r w:rsidRPr="00BC2D75">
        <w:rPr>
          <w:b/>
          <w:lang w:val="am-ET"/>
        </w:rPr>
        <w:t>- Mẫu đơn, mẫu tờ khai đính kèm:</w:t>
      </w:r>
    </w:p>
    <w:bookmarkStart w:id="0" w:name="_GoBack"/>
    <w:p w14:paraId="75DAAE4F" w14:textId="4A4EB7D6" w:rsidR="000D0C2A" w:rsidRPr="00BC2D75" w:rsidRDefault="000D0C2A" w:rsidP="000D0C2A">
      <w:pPr>
        <w:spacing w:before="120" w:after="120"/>
        <w:ind w:firstLine="720"/>
        <w:jc w:val="both"/>
        <w:rPr>
          <w:rFonts w:eastAsia="Calibri"/>
          <w:lang w:val="nl-NL"/>
        </w:rPr>
      </w:pPr>
      <w:r w:rsidRPr="00BC2D75">
        <w:rPr>
          <w:rFonts w:eastAsia="Calibri"/>
          <w:lang w:val="nl-NL"/>
        </w:rPr>
        <w:object w:dxaOrig="1814" w:dyaOrig="1174" w14:anchorId="1B575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90.75pt;height:58.5pt" o:ole="">
            <v:imagedata r:id="rId6" o:title=""/>
          </v:shape>
          <o:OLEObject Type="Embed" ProgID="Excel.Sheet.8" ShapeID="_x0000_i1175" DrawAspect="Icon" ObjectID="_1637869980" r:id="rId7"/>
        </w:object>
      </w:r>
      <w:bookmarkEnd w:id="0"/>
    </w:p>
    <w:p w14:paraId="615E00C3" w14:textId="77777777" w:rsidR="000D0C2A" w:rsidRPr="00BC2D75" w:rsidRDefault="000D0C2A" w:rsidP="000D0C2A">
      <w:pPr>
        <w:spacing w:before="120" w:after="120"/>
        <w:jc w:val="both"/>
        <w:rPr>
          <w:b/>
          <w:lang w:val="fr-FR"/>
        </w:rPr>
      </w:pPr>
    </w:p>
    <w:p w14:paraId="6E50209D" w14:textId="77777777" w:rsidR="000D0C2A" w:rsidRPr="00BC2D75" w:rsidRDefault="000D0C2A" w:rsidP="000D0C2A">
      <w:pPr>
        <w:spacing w:before="120" w:after="120"/>
        <w:jc w:val="both"/>
        <w:rPr>
          <w:b/>
          <w:lang w:val="fr-FR"/>
        </w:rPr>
      </w:pPr>
    </w:p>
    <w:p w14:paraId="130016D5" w14:textId="77777777" w:rsidR="000D0C2A" w:rsidRPr="00BC2D75" w:rsidRDefault="000D0C2A" w:rsidP="000D0C2A">
      <w:pPr>
        <w:spacing w:before="120" w:after="120"/>
        <w:jc w:val="both"/>
        <w:rPr>
          <w:b/>
          <w:lang w:val="fr-FR"/>
        </w:rPr>
      </w:pPr>
    </w:p>
    <w:p w14:paraId="44B4D549" w14:textId="77777777" w:rsidR="0055700A" w:rsidRPr="000D0C2A" w:rsidRDefault="0055700A" w:rsidP="000D0C2A"/>
    <w:sectPr w:rsidR="0055700A" w:rsidRPr="000D0C2A" w:rsidSect="00557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2"/>
    <w:compatSetting w:name="useWord2013TrackBottomHyphenation" w:uri="http://schemas.microsoft.com/office/word" w:val="0"/>
  </w:compat>
  <w:rsids>
    <w:rsidRoot w:val="00C05280"/>
    <w:rsid w:val="000D0C2A"/>
    <w:rsid w:val="002122C2"/>
    <w:rsid w:val="00231038"/>
    <w:rsid w:val="003317DF"/>
    <w:rsid w:val="00447134"/>
    <w:rsid w:val="0055700A"/>
    <w:rsid w:val="005D71E0"/>
    <w:rsid w:val="007D4052"/>
    <w:rsid w:val="00823C0B"/>
    <w:rsid w:val="00832575"/>
    <w:rsid w:val="0084704C"/>
    <w:rsid w:val="00915642"/>
    <w:rsid w:val="00BF383B"/>
    <w:rsid w:val="00C05280"/>
    <w:rsid w:val="00D14B1E"/>
    <w:rsid w:val="00D24B43"/>
    <w:rsid w:val="00D37CF6"/>
    <w:rsid w:val="00F91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20122"/>
  <w15:chartTrackingRefBased/>
  <w15:docId w15:val="{ECAB5E8D-63B1-4D96-A4DA-9F415A91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80"/>
    <w:pPr>
      <w:spacing w:after="0" w:line="240" w:lineRule="auto"/>
    </w:pPr>
    <w:rPr>
      <w:rFonts w:ascii="Times New Roman" w:eastAsia="MS Mincho" w:hAnsi="Times New Roman" w:cs="Times New Roman"/>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47134"/>
    <w:pPr>
      <w:spacing w:after="200" w:line="276" w:lineRule="auto"/>
      <w:ind w:left="720"/>
      <w:contextualSpacing/>
    </w:pPr>
    <w:rPr>
      <w:rFonts w:eastAsia="Calibri"/>
      <w:szCs w:val="22"/>
      <w:lang w:eastAsia="en-US"/>
    </w:rPr>
  </w:style>
  <w:style w:type="character" w:customStyle="1" w:styleId="apple-converted-space">
    <w:name w:val="apple-converted-space"/>
    <w:rsid w:val="00823C0B"/>
  </w:style>
  <w:style w:type="character" w:styleId="Hyperlink">
    <w:name w:val="Hyperlink"/>
    <w:uiPriority w:val="99"/>
    <w:rsid w:val="000D0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Excel_97-2003_Worksheet.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thuvienphapluat.vn/phap-luat/tim-van-ban.aspx?keyword=12/2015/N%C4%90-CP&amp;area=2&amp;type=0&amp;match=False&amp;vc=True&amp;lan=1" TargetMode="External"/><Relationship Id="rId4" Type="http://schemas.openxmlformats.org/officeDocument/2006/relationships/hyperlink" Target="http://thuvienphapluat.vn/phap-luat/tim-van-ban.aspx?keyword=50/2010/N%C4%90-CP&amp;area=2&amp;type=0&amp;match=False&amp;vc=True&amp;lan=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Phan Mot Cua</dc:creator>
  <cp:keywords/>
  <dc:description/>
  <cp:lastModifiedBy>Bo Phan Mot Cua</cp:lastModifiedBy>
  <cp:revision>1</cp:revision>
  <dcterms:created xsi:type="dcterms:W3CDTF">2019-12-14T11:12:00Z</dcterms:created>
  <dcterms:modified xsi:type="dcterms:W3CDTF">2019-12-14T16:05:00Z</dcterms:modified>
</cp:coreProperties>
</file>