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471" w:rsidRPr="00023D86" w:rsidRDefault="009F3471" w:rsidP="009F3471">
      <w:pPr>
        <w:jc w:val="center"/>
        <w:rPr>
          <w:rFonts w:eastAsia="Calibri"/>
          <w:b/>
          <w:lang w:val="en-GB"/>
        </w:rPr>
      </w:pPr>
      <w:r w:rsidRPr="00023D86">
        <w:rPr>
          <w:rFonts w:eastAsia="Calibri"/>
          <w:b/>
          <w:lang w:val="en-GB"/>
        </w:rPr>
        <w:t>Phụ lục số 04</w:t>
      </w:r>
    </w:p>
    <w:p w:rsidR="009F3471" w:rsidRPr="00023D86" w:rsidRDefault="009F3471" w:rsidP="009F3471">
      <w:pPr>
        <w:tabs>
          <w:tab w:val="left" w:pos="6804"/>
        </w:tabs>
        <w:jc w:val="center"/>
        <w:rPr>
          <w:rFonts w:eastAsia="Calibri"/>
          <w:i/>
          <w:noProof/>
          <w:sz w:val="23"/>
          <w:szCs w:val="23"/>
          <w:lang w:val="en-GB"/>
        </w:rPr>
      </w:pPr>
      <w:r w:rsidRPr="00023D86">
        <w:rPr>
          <w:rFonts w:eastAsia="Calibri"/>
          <w:i/>
          <w:noProof/>
          <w:sz w:val="23"/>
          <w:szCs w:val="23"/>
          <w:lang w:val="en-GB"/>
        </w:rPr>
        <w:t xml:space="preserve">(Ban hành kèm theo </w:t>
      </w:r>
      <w:r w:rsidRPr="003A7E99">
        <w:rPr>
          <w:rFonts w:eastAsia="Calibri"/>
          <w:i/>
          <w:noProof/>
          <w:sz w:val="23"/>
          <w:szCs w:val="23"/>
          <w:lang w:val="en-GB"/>
        </w:rPr>
        <w:t xml:space="preserve">Thông tư số 15/2022/TT-NHNN </w:t>
      </w:r>
      <w:r w:rsidRPr="00023D86">
        <w:rPr>
          <w:rFonts w:eastAsia="Calibri"/>
          <w:i/>
          <w:noProof/>
          <w:sz w:val="23"/>
          <w:szCs w:val="23"/>
          <w:lang w:val="en-GB"/>
        </w:rPr>
        <w:t>của Thống đốc Ngân hàng Nhà nước</w:t>
      </w:r>
    </w:p>
    <w:p w:rsidR="009F3471" w:rsidRPr="00023D86" w:rsidRDefault="009F3471" w:rsidP="009F3471">
      <w:pPr>
        <w:jc w:val="center"/>
        <w:rPr>
          <w:rFonts w:eastAsia="Calibri"/>
          <w:i/>
          <w:noProof/>
          <w:sz w:val="23"/>
          <w:szCs w:val="23"/>
          <w:lang w:val="en-GB"/>
        </w:rPr>
      </w:pPr>
      <w:r w:rsidRPr="00023D86">
        <w:rPr>
          <w:rFonts w:eastAsia="Calibri"/>
          <w:i/>
          <w:noProof/>
          <w:sz w:val="23"/>
          <w:szCs w:val="23"/>
          <w:lang w:val="en-GB"/>
        </w:rPr>
        <w:t xml:space="preserve">quy định về tái cấp vốn trên cơ sở trái phiếu đặc biệt của Công ty Quản lý tài sản </w:t>
      </w:r>
    </w:p>
    <w:p w:rsidR="009F3471" w:rsidRPr="00023D86" w:rsidRDefault="009F3471" w:rsidP="009F3471">
      <w:pPr>
        <w:jc w:val="center"/>
        <w:rPr>
          <w:rFonts w:eastAsia="Calibri"/>
          <w:i/>
          <w:noProof/>
          <w:sz w:val="23"/>
          <w:szCs w:val="23"/>
          <w:lang w:val="en-GB"/>
        </w:rPr>
      </w:pPr>
      <w:r w:rsidRPr="00023D86">
        <w:rPr>
          <w:rFonts w:eastAsia="Calibri"/>
          <w:i/>
          <w:noProof/>
          <w:sz w:val="23"/>
          <w:szCs w:val="23"/>
          <w:lang w:val="en-GB"/>
        </w:rPr>
        <w:t>của các tổ chức tín dụng Việt Nam)</w:t>
      </w:r>
    </w:p>
    <w:p w:rsidR="009F3471" w:rsidRPr="00023D86" w:rsidRDefault="009F3471" w:rsidP="009F3471">
      <w:pPr>
        <w:jc w:val="center"/>
        <w:rPr>
          <w:b/>
          <w:bCs/>
          <w:sz w:val="26"/>
          <w:szCs w:val="2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427"/>
      </w:tblGrid>
      <w:tr w:rsidR="009F3471" w:rsidRPr="00023D86" w:rsidTr="007472BE">
        <w:tc>
          <w:tcPr>
            <w:tcW w:w="2988" w:type="dxa"/>
          </w:tcPr>
          <w:p w:rsidR="009F3471" w:rsidRPr="00023D86" w:rsidRDefault="009F3471" w:rsidP="007472BE">
            <w:pPr>
              <w:jc w:val="center"/>
              <w:rPr>
                <w:rFonts w:eastAsiaTheme="minorHAnsi"/>
                <w:b/>
                <w:lang w:val="en-GB"/>
              </w:rPr>
            </w:pPr>
            <w:r w:rsidRPr="00023D86">
              <w:rPr>
                <w:rFonts w:eastAsiaTheme="minorHAnsi"/>
                <w:b/>
                <w:lang w:val="en-GB"/>
              </w:rPr>
              <w:t>Tổ chức tín dụng</w:t>
            </w:r>
          </w:p>
          <w:p w:rsidR="009F3471" w:rsidRPr="00023D86" w:rsidRDefault="009F3471" w:rsidP="007472BE">
            <w:pPr>
              <w:jc w:val="center"/>
              <w:rPr>
                <w:rFonts w:eastAsiaTheme="minorHAnsi"/>
                <w:sz w:val="26"/>
                <w:szCs w:val="26"/>
                <w:lang w:val="en-GB"/>
              </w:rPr>
            </w:pPr>
            <w:r w:rsidRPr="00023D86">
              <w:rPr>
                <w:rFonts w:eastAsiaTheme="minorHAnsi"/>
                <w:lang w:val="en-GB"/>
              </w:rPr>
              <w:t>Số văn bản:….</w:t>
            </w:r>
          </w:p>
        </w:tc>
        <w:tc>
          <w:tcPr>
            <w:tcW w:w="6588" w:type="dxa"/>
          </w:tcPr>
          <w:p w:rsidR="009F3471" w:rsidRPr="00023D86" w:rsidRDefault="009F3471" w:rsidP="007472BE">
            <w:pPr>
              <w:jc w:val="center"/>
              <w:rPr>
                <w:rFonts w:eastAsiaTheme="minorHAnsi"/>
                <w:b/>
                <w:lang w:val="en-GB"/>
              </w:rPr>
            </w:pPr>
            <w:r w:rsidRPr="00023D86">
              <w:rPr>
                <w:rFonts w:eastAsiaTheme="minorHAnsi"/>
                <w:b/>
                <w:lang w:val="en-GB"/>
              </w:rPr>
              <w:t>CỘNG HÒA XÃ HỘI CHỦ NGHĨA VIỆT NAM</w:t>
            </w:r>
          </w:p>
          <w:p w:rsidR="009F3471" w:rsidRPr="00023D86" w:rsidRDefault="009F3471" w:rsidP="007472BE">
            <w:pPr>
              <w:jc w:val="center"/>
              <w:rPr>
                <w:rFonts w:eastAsiaTheme="minorHAnsi"/>
                <w:sz w:val="26"/>
                <w:szCs w:val="26"/>
                <w:lang w:val="en-GB"/>
              </w:rPr>
            </w:pPr>
            <w:r w:rsidRPr="00023D86">
              <w:rPr>
                <w:b/>
                <w:bCs/>
                <w:noProof/>
                <w:sz w:val="26"/>
                <w:szCs w:val="26"/>
              </w:rPr>
              <mc:AlternateContent>
                <mc:Choice Requires="wps">
                  <w:drawing>
                    <wp:anchor distT="0" distB="0" distL="114300" distR="114300" simplePos="0" relativeHeight="251659264" behindDoc="0" locked="0" layoutInCell="1" allowOverlap="1" wp14:anchorId="5F23A28F" wp14:editId="752027B4">
                      <wp:simplePos x="0" y="0"/>
                      <wp:positionH relativeFrom="column">
                        <wp:posOffset>927100</wp:posOffset>
                      </wp:positionH>
                      <wp:positionV relativeFrom="paragraph">
                        <wp:posOffset>187960</wp:posOffset>
                      </wp:positionV>
                      <wp:extent cx="2025650" cy="0"/>
                      <wp:effectExtent l="0" t="0" r="12700" b="19050"/>
                      <wp:wrapNone/>
                      <wp:docPr id="11" name="Straight Connector 11"/>
                      <wp:cNvGraphicFramePr/>
                      <a:graphic xmlns:a="http://schemas.openxmlformats.org/drawingml/2006/main">
                        <a:graphicData uri="http://schemas.microsoft.com/office/word/2010/wordprocessingShape">
                          <wps:wsp>
                            <wps:cNvCnPr/>
                            <wps:spPr>
                              <a:xfrm>
                                <a:off x="0" y="0"/>
                                <a:ext cx="20256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FDE8C"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pt,14.8pt" to="23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" strokecolor="black [3213]" strokeweight=".5pt">
                      <v:stroke joinstyle="miter"/>
                    </v:line>
                  </w:pict>
                </mc:Fallback>
              </mc:AlternateContent>
            </w:r>
            <w:r w:rsidRPr="00023D86">
              <w:rPr>
                <w:rFonts w:eastAsiaTheme="minorHAnsi"/>
                <w:b/>
                <w:sz w:val="26"/>
                <w:szCs w:val="26"/>
                <w:lang w:val="en-GB"/>
              </w:rPr>
              <w:t>Độc lập - Tự do - Hạnh phúc</w:t>
            </w:r>
          </w:p>
        </w:tc>
      </w:tr>
    </w:tbl>
    <w:p w:rsidR="009F3471" w:rsidRPr="00023D86" w:rsidRDefault="009F3471" w:rsidP="009F3471">
      <w:pPr>
        <w:jc w:val="center"/>
        <w:rPr>
          <w:b/>
          <w:bCs/>
          <w:sz w:val="26"/>
          <w:szCs w:val="26"/>
          <w:lang w:val="en-GB"/>
        </w:rPr>
      </w:pPr>
    </w:p>
    <w:p w:rsidR="009F3471" w:rsidRPr="00023D86" w:rsidRDefault="009F3471" w:rsidP="009F3471">
      <w:pPr>
        <w:jc w:val="center"/>
        <w:rPr>
          <w:b/>
          <w:bCs/>
          <w:sz w:val="26"/>
          <w:szCs w:val="26"/>
          <w:lang w:val="en-GB"/>
        </w:rPr>
      </w:pPr>
      <w:r w:rsidRPr="00023D86">
        <w:rPr>
          <w:b/>
          <w:bCs/>
          <w:sz w:val="26"/>
          <w:szCs w:val="26"/>
          <w:lang w:val="en-GB"/>
        </w:rPr>
        <w:t>BẢNG KÊ TRÁI PHIẾU ĐẶC BIỆT LÀM CƠ SỞ VAY TÁI CẤP VỐN/</w:t>
      </w:r>
    </w:p>
    <w:p w:rsidR="009F3471" w:rsidRPr="00023D86" w:rsidRDefault="009F3471" w:rsidP="009F3471">
      <w:pPr>
        <w:jc w:val="center"/>
        <w:rPr>
          <w:b/>
          <w:bCs/>
          <w:sz w:val="26"/>
          <w:szCs w:val="26"/>
          <w:lang w:val="en-GB"/>
        </w:rPr>
      </w:pPr>
      <w:r w:rsidRPr="00023D86">
        <w:rPr>
          <w:b/>
          <w:bCs/>
          <w:sz w:val="26"/>
          <w:szCs w:val="26"/>
          <w:lang w:val="en-GB"/>
        </w:rPr>
        <w:t>GIA HẠN VAY TÁI CẤP VỐN TẠI NGÂN HÀNG NHÀ NƯỚC VIỆT NAM</w:t>
      </w:r>
    </w:p>
    <w:p w:rsidR="009F3471" w:rsidRPr="00023D86" w:rsidRDefault="009F3471" w:rsidP="009F3471">
      <w:pPr>
        <w:jc w:val="center"/>
        <w:rPr>
          <w:b/>
          <w:bCs/>
          <w:sz w:val="26"/>
          <w:szCs w:val="26"/>
          <w:lang w:val="en-GB"/>
        </w:rPr>
      </w:pPr>
      <w:r w:rsidRPr="00023D86">
        <w:rPr>
          <w:bCs/>
          <w:i/>
          <w:lang w:val="en-GB"/>
        </w:rPr>
        <w:t>Ngày … tháng … năm …</w:t>
      </w:r>
    </w:p>
    <w:p w:rsidR="009F3471" w:rsidRPr="00023D86" w:rsidRDefault="009F3471" w:rsidP="009F3471">
      <w:pPr>
        <w:tabs>
          <w:tab w:val="left" w:pos="3202"/>
        </w:tabs>
        <w:spacing w:after="60"/>
        <w:jc w:val="right"/>
        <w:rPr>
          <w:i/>
          <w:lang w:val="en-GB"/>
        </w:rPr>
      </w:pPr>
      <w:r w:rsidRPr="00023D86">
        <w:rPr>
          <w:i/>
          <w:lang w:val="en-GB"/>
        </w:rPr>
        <w:t>Đơn vị: đồng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966"/>
        <w:gridCol w:w="850"/>
        <w:gridCol w:w="850"/>
        <w:gridCol w:w="1134"/>
        <w:gridCol w:w="1558"/>
        <w:gridCol w:w="994"/>
        <w:gridCol w:w="1984"/>
      </w:tblGrid>
      <w:tr w:rsidR="009F3471" w:rsidRPr="00023D86" w:rsidTr="007472BE">
        <w:trPr>
          <w:trHeight w:val="1387"/>
        </w:trPr>
        <w:tc>
          <w:tcPr>
            <w:tcW w:w="736" w:type="dxa"/>
            <w:shd w:val="clear" w:color="auto" w:fill="auto"/>
            <w:noWrap/>
            <w:vAlign w:val="center"/>
          </w:tcPr>
          <w:p w:rsidR="009F3471" w:rsidRPr="00023D86" w:rsidRDefault="009F3471" w:rsidP="007472BE">
            <w:pPr>
              <w:jc w:val="center"/>
              <w:rPr>
                <w:b/>
                <w:sz w:val="21"/>
                <w:szCs w:val="21"/>
                <w:lang w:val="en-GB" w:eastAsia="vi-VN"/>
              </w:rPr>
            </w:pPr>
            <w:r w:rsidRPr="00023D86">
              <w:rPr>
                <w:b/>
                <w:sz w:val="21"/>
                <w:szCs w:val="21"/>
                <w:lang w:val="en-GB" w:eastAsia="vi-VN"/>
              </w:rPr>
              <w:t>STT</w:t>
            </w:r>
          </w:p>
        </w:tc>
        <w:tc>
          <w:tcPr>
            <w:tcW w:w="966" w:type="dxa"/>
            <w:shd w:val="clear" w:color="auto" w:fill="auto"/>
            <w:noWrap/>
            <w:vAlign w:val="center"/>
          </w:tcPr>
          <w:p w:rsidR="009F3471" w:rsidRPr="00023D86" w:rsidRDefault="009F3471" w:rsidP="007472BE">
            <w:pPr>
              <w:jc w:val="center"/>
              <w:rPr>
                <w:b/>
                <w:sz w:val="21"/>
                <w:szCs w:val="21"/>
                <w:lang w:val="en-GB" w:eastAsia="vi-VN"/>
              </w:rPr>
            </w:pPr>
            <w:r w:rsidRPr="00023D86">
              <w:rPr>
                <w:b/>
                <w:sz w:val="21"/>
                <w:szCs w:val="21"/>
                <w:lang w:val="en-GB" w:eastAsia="vi-VN"/>
              </w:rPr>
              <w:t>Mã</w:t>
            </w:r>
          </w:p>
          <w:p w:rsidR="009F3471" w:rsidRPr="00023D86" w:rsidRDefault="009F3471" w:rsidP="007472BE">
            <w:pPr>
              <w:jc w:val="center"/>
              <w:rPr>
                <w:b/>
                <w:sz w:val="21"/>
                <w:szCs w:val="21"/>
                <w:lang w:val="en-GB" w:eastAsia="vi-VN"/>
              </w:rPr>
            </w:pPr>
            <w:r w:rsidRPr="00023D86">
              <w:rPr>
                <w:b/>
                <w:sz w:val="21"/>
                <w:szCs w:val="21"/>
                <w:lang w:val="en-GB" w:eastAsia="vi-VN"/>
              </w:rPr>
              <w:t>trái phiếu đặc biệt</w:t>
            </w:r>
          </w:p>
        </w:tc>
        <w:tc>
          <w:tcPr>
            <w:tcW w:w="850" w:type="dxa"/>
            <w:vAlign w:val="center"/>
          </w:tcPr>
          <w:p w:rsidR="009F3471" w:rsidRPr="00023D86" w:rsidRDefault="009F3471" w:rsidP="007472BE">
            <w:pPr>
              <w:jc w:val="center"/>
              <w:rPr>
                <w:b/>
                <w:sz w:val="21"/>
                <w:szCs w:val="21"/>
                <w:lang w:val="en-GB" w:eastAsia="vi-VN"/>
              </w:rPr>
            </w:pPr>
            <w:r w:rsidRPr="00023D86">
              <w:rPr>
                <w:b/>
                <w:sz w:val="21"/>
                <w:szCs w:val="21"/>
                <w:lang w:val="en-GB" w:eastAsia="vi-VN"/>
              </w:rPr>
              <w:t>Ngày phát hành</w:t>
            </w:r>
          </w:p>
        </w:tc>
        <w:tc>
          <w:tcPr>
            <w:tcW w:w="850" w:type="dxa"/>
            <w:vAlign w:val="center"/>
          </w:tcPr>
          <w:p w:rsidR="009F3471" w:rsidRPr="00023D86" w:rsidRDefault="009F3471" w:rsidP="007472BE">
            <w:pPr>
              <w:jc w:val="center"/>
              <w:rPr>
                <w:b/>
                <w:sz w:val="21"/>
                <w:szCs w:val="21"/>
                <w:lang w:val="en-GB" w:eastAsia="vi-VN"/>
              </w:rPr>
            </w:pPr>
            <w:r w:rsidRPr="00023D86">
              <w:rPr>
                <w:b/>
                <w:sz w:val="21"/>
                <w:szCs w:val="21"/>
                <w:lang w:val="en-GB" w:eastAsia="vi-VN"/>
              </w:rPr>
              <w:t>Ngày đến hạn</w:t>
            </w:r>
          </w:p>
        </w:tc>
        <w:tc>
          <w:tcPr>
            <w:tcW w:w="1134" w:type="dxa"/>
            <w:shd w:val="clear" w:color="auto" w:fill="auto"/>
            <w:noWrap/>
            <w:vAlign w:val="center"/>
          </w:tcPr>
          <w:p w:rsidR="009F3471" w:rsidRPr="00023D86" w:rsidRDefault="009F3471" w:rsidP="007472BE">
            <w:pPr>
              <w:jc w:val="center"/>
              <w:rPr>
                <w:b/>
                <w:sz w:val="21"/>
                <w:szCs w:val="21"/>
                <w:lang w:val="en-GB" w:eastAsia="vi-VN"/>
              </w:rPr>
            </w:pPr>
            <w:r w:rsidRPr="00023D86">
              <w:rPr>
                <w:b/>
                <w:sz w:val="21"/>
                <w:szCs w:val="21"/>
                <w:lang w:val="en-GB" w:eastAsia="vi-VN"/>
              </w:rPr>
              <w:t>Mệnh giá trái phiếu đặc biệt</w:t>
            </w:r>
          </w:p>
          <w:p w:rsidR="009F3471" w:rsidRPr="00023D86" w:rsidRDefault="009F3471" w:rsidP="007472BE">
            <w:pPr>
              <w:jc w:val="center"/>
              <w:rPr>
                <w:b/>
                <w:sz w:val="21"/>
                <w:szCs w:val="21"/>
                <w:lang w:val="en-GB" w:eastAsia="vi-VN"/>
              </w:rPr>
            </w:pPr>
            <w:r w:rsidRPr="00023D86">
              <w:rPr>
                <w:b/>
                <w:sz w:val="21"/>
                <w:szCs w:val="21"/>
                <w:lang w:val="en-GB" w:eastAsia="vi-VN"/>
              </w:rPr>
              <w:t>(MG)</w:t>
            </w:r>
          </w:p>
        </w:tc>
        <w:tc>
          <w:tcPr>
            <w:tcW w:w="1558" w:type="dxa"/>
            <w:vAlign w:val="center"/>
          </w:tcPr>
          <w:p w:rsidR="009F3471" w:rsidRPr="00023D86" w:rsidRDefault="009F3471" w:rsidP="007472BE">
            <w:pPr>
              <w:jc w:val="center"/>
              <w:rPr>
                <w:b/>
                <w:sz w:val="21"/>
                <w:szCs w:val="21"/>
                <w:lang w:val="en-GB" w:eastAsia="vi-VN"/>
              </w:rPr>
            </w:pPr>
            <w:r w:rsidRPr="00023D86">
              <w:rPr>
                <w:b/>
                <w:sz w:val="21"/>
                <w:szCs w:val="21"/>
                <w:lang w:val="en-GB" w:eastAsia="vi-VN"/>
              </w:rPr>
              <w:t>Dự phòng rủi ro đã trích lập đối với trái phiếu đặc biệt (DPRR)</w:t>
            </w:r>
          </w:p>
        </w:tc>
        <w:tc>
          <w:tcPr>
            <w:tcW w:w="994" w:type="dxa"/>
            <w:vAlign w:val="center"/>
          </w:tcPr>
          <w:p w:rsidR="009F3471" w:rsidRPr="00023D86" w:rsidRDefault="009F3471" w:rsidP="007472BE">
            <w:pPr>
              <w:jc w:val="center"/>
              <w:rPr>
                <w:b/>
                <w:sz w:val="21"/>
                <w:szCs w:val="21"/>
                <w:lang w:val="en-GB" w:eastAsia="vi-VN"/>
              </w:rPr>
            </w:pPr>
            <w:r w:rsidRPr="00023D86">
              <w:rPr>
                <w:b/>
                <w:sz w:val="21"/>
                <w:szCs w:val="21"/>
                <w:lang w:val="en-GB" w:eastAsia="vi-VN"/>
              </w:rPr>
              <w:t>Số tiền thu hồi nợ</w:t>
            </w:r>
          </w:p>
          <w:p w:rsidR="009F3471" w:rsidRPr="00023D86" w:rsidRDefault="009F3471" w:rsidP="007472BE">
            <w:pPr>
              <w:jc w:val="center"/>
              <w:rPr>
                <w:b/>
                <w:sz w:val="21"/>
                <w:szCs w:val="21"/>
                <w:lang w:val="en-GB" w:eastAsia="vi-VN"/>
              </w:rPr>
            </w:pPr>
            <w:r w:rsidRPr="00023D86">
              <w:rPr>
                <w:b/>
                <w:sz w:val="21"/>
                <w:szCs w:val="21"/>
                <w:lang w:val="en-GB" w:eastAsia="vi-VN"/>
              </w:rPr>
              <w:t>(TN)</w:t>
            </w:r>
          </w:p>
        </w:tc>
        <w:tc>
          <w:tcPr>
            <w:tcW w:w="1984" w:type="dxa"/>
            <w:vAlign w:val="center"/>
          </w:tcPr>
          <w:p w:rsidR="009F3471" w:rsidRPr="00023D86" w:rsidRDefault="009F3471" w:rsidP="007472BE">
            <w:pPr>
              <w:jc w:val="center"/>
              <w:rPr>
                <w:b/>
                <w:sz w:val="21"/>
                <w:szCs w:val="21"/>
                <w:lang w:val="en-GB" w:eastAsia="vi-VN"/>
              </w:rPr>
            </w:pPr>
            <w:r w:rsidRPr="00023D86">
              <w:rPr>
                <w:b/>
                <w:sz w:val="21"/>
                <w:szCs w:val="21"/>
                <w:lang w:val="en-GB" w:eastAsia="vi-VN"/>
              </w:rPr>
              <w:t>Mệnh giá trái phiếu đặc biệt sau khi trừ dự phòng rủi ro và số tiền thu hồi nợ</w:t>
            </w:r>
          </w:p>
        </w:tc>
      </w:tr>
      <w:tr w:rsidR="009F3471" w:rsidRPr="00023D86" w:rsidTr="007472BE">
        <w:trPr>
          <w:trHeight w:val="510"/>
        </w:trPr>
        <w:tc>
          <w:tcPr>
            <w:tcW w:w="736" w:type="dxa"/>
            <w:shd w:val="clear" w:color="auto" w:fill="auto"/>
            <w:noWrap/>
            <w:vAlign w:val="center"/>
          </w:tcPr>
          <w:p w:rsidR="009F3471" w:rsidRPr="00023D86" w:rsidRDefault="009F3471" w:rsidP="007472BE">
            <w:pPr>
              <w:jc w:val="center"/>
              <w:rPr>
                <w:sz w:val="20"/>
                <w:szCs w:val="20"/>
                <w:lang w:val="en-GB" w:eastAsia="vi-VN"/>
              </w:rPr>
            </w:pPr>
            <w:r w:rsidRPr="00023D86">
              <w:rPr>
                <w:sz w:val="20"/>
                <w:szCs w:val="20"/>
                <w:lang w:val="en-GB" w:eastAsia="vi-VN"/>
              </w:rPr>
              <w:t>(1)</w:t>
            </w:r>
          </w:p>
        </w:tc>
        <w:tc>
          <w:tcPr>
            <w:tcW w:w="966" w:type="dxa"/>
            <w:shd w:val="clear" w:color="auto" w:fill="auto"/>
            <w:noWrap/>
            <w:vAlign w:val="center"/>
          </w:tcPr>
          <w:p w:rsidR="009F3471" w:rsidRPr="00023D86" w:rsidRDefault="009F3471" w:rsidP="007472BE">
            <w:pPr>
              <w:jc w:val="center"/>
              <w:rPr>
                <w:sz w:val="20"/>
                <w:szCs w:val="20"/>
                <w:lang w:val="en-GB" w:eastAsia="vi-VN"/>
              </w:rPr>
            </w:pPr>
            <w:r w:rsidRPr="00023D86">
              <w:rPr>
                <w:sz w:val="20"/>
                <w:szCs w:val="20"/>
                <w:lang w:val="en-GB" w:eastAsia="vi-VN"/>
              </w:rPr>
              <w:t>(2)</w:t>
            </w:r>
          </w:p>
        </w:tc>
        <w:tc>
          <w:tcPr>
            <w:tcW w:w="850" w:type="dxa"/>
            <w:vAlign w:val="center"/>
          </w:tcPr>
          <w:p w:rsidR="009F3471" w:rsidRPr="00023D86" w:rsidRDefault="009F3471" w:rsidP="007472BE">
            <w:pPr>
              <w:jc w:val="center"/>
              <w:rPr>
                <w:sz w:val="20"/>
                <w:szCs w:val="20"/>
                <w:lang w:val="en-GB" w:eastAsia="vi-VN"/>
              </w:rPr>
            </w:pPr>
            <w:r w:rsidRPr="00023D86">
              <w:rPr>
                <w:sz w:val="20"/>
                <w:szCs w:val="20"/>
                <w:lang w:val="en-GB" w:eastAsia="vi-VN"/>
              </w:rPr>
              <w:t>(3)</w:t>
            </w:r>
          </w:p>
        </w:tc>
        <w:tc>
          <w:tcPr>
            <w:tcW w:w="850" w:type="dxa"/>
            <w:vAlign w:val="center"/>
          </w:tcPr>
          <w:p w:rsidR="009F3471" w:rsidRPr="00023D86" w:rsidRDefault="009F3471" w:rsidP="007472BE">
            <w:pPr>
              <w:jc w:val="center"/>
              <w:rPr>
                <w:sz w:val="20"/>
                <w:szCs w:val="20"/>
                <w:lang w:val="en-GB" w:eastAsia="vi-VN"/>
              </w:rPr>
            </w:pPr>
            <w:r w:rsidRPr="00023D86">
              <w:rPr>
                <w:sz w:val="20"/>
                <w:szCs w:val="20"/>
                <w:lang w:val="en-GB" w:eastAsia="vi-VN"/>
              </w:rPr>
              <w:t>(4)</w:t>
            </w:r>
          </w:p>
        </w:tc>
        <w:tc>
          <w:tcPr>
            <w:tcW w:w="1134" w:type="dxa"/>
            <w:shd w:val="clear" w:color="auto" w:fill="auto"/>
            <w:noWrap/>
            <w:vAlign w:val="center"/>
          </w:tcPr>
          <w:p w:rsidR="009F3471" w:rsidRPr="00023D86" w:rsidRDefault="009F3471" w:rsidP="007472BE">
            <w:pPr>
              <w:jc w:val="center"/>
              <w:rPr>
                <w:sz w:val="20"/>
                <w:szCs w:val="20"/>
                <w:lang w:val="en-GB" w:eastAsia="vi-VN"/>
              </w:rPr>
            </w:pPr>
            <w:r w:rsidRPr="00023D86">
              <w:rPr>
                <w:sz w:val="20"/>
                <w:szCs w:val="20"/>
                <w:lang w:val="en-GB" w:eastAsia="vi-VN"/>
              </w:rPr>
              <w:t>(5)</w:t>
            </w:r>
          </w:p>
        </w:tc>
        <w:tc>
          <w:tcPr>
            <w:tcW w:w="1558" w:type="dxa"/>
            <w:vAlign w:val="center"/>
          </w:tcPr>
          <w:p w:rsidR="009F3471" w:rsidRPr="00023D86" w:rsidRDefault="009F3471" w:rsidP="007472BE">
            <w:pPr>
              <w:jc w:val="center"/>
              <w:rPr>
                <w:sz w:val="20"/>
                <w:szCs w:val="20"/>
                <w:lang w:val="en-GB" w:eastAsia="vi-VN"/>
              </w:rPr>
            </w:pPr>
            <w:r w:rsidRPr="00023D86">
              <w:rPr>
                <w:sz w:val="20"/>
                <w:szCs w:val="20"/>
                <w:lang w:val="en-GB" w:eastAsia="vi-VN"/>
              </w:rPr>
              <w:t>(6)</w:t>
            </w:r>
          </w:p>
        </w:tc>
        <w:tc>
          <w:tcPr>
            <w:tcW w:w="994" w:type="dxa"/>
            <w:vAlign w:val="center"/>
          </w:tcPr>
          <w:p w:rsidR="009F3471" w:rsidRPr="00023D86" w:rsidRDefault="009F3471" w:rsidP="007472BE">
            <w:pPr>
              <w:jc w:val="center"/>
              <w:rPr>
                <w:sz w:val="20"/>
                <w:szCs w:val="20"/>
                <w:lang w:val="en-GB" w:eastAsia="vi-VN"/>
              </w:rPr>
            </w:pPr>
            <w:r w:rsidRPr="00023D86">
              <w:rPr>
                <w:sz w:val="20"/>
                <w:szCs w:val="20"/>
                <w:lang w:val="en-GB" w:eastAsia="vi-VN"/>
              </w:rPr>
              <w:t>(7)</w:t>
            </w:r>
          </w:p>
        </w:tc>
        <w:tc>
          <w:tcPr>
            <w:tcW w:w="1984" w:type="dxa"/>
            <w:vAlign w:val="center"/>
          </w:tcPr>
          <w:p w:rsidR="009F3471" w:rsidRPr="00023D86" w:rsidRDefault="009F3471" w:rsidP="007472BE">
            <w:pPr>
              <w:jc w:val="center"/>
              <w:rPr>
                <w:sz w:val="20"/>
                <w:szCs w:val="20"/>
                <w:lang w:val="en-GB" w:eastAsia="vi-VN"/>
              </w:rPr>
            </w:pPr>
            <w:r w:rsidRPr="00023D86">
              <w:rPr>
                <w:sz w:val="20"/>
                <w:szCs w:val="20"/>
                <w:lang w:val="en-GB" w:eastAsia="vi-VN"/>
              </w:rPr>
              <w:t>(8) = (5) – (6) – (7)</w:t>
            </w:r>
          </w:p>
        </w:tc>
      </w:tr>
      <w:tr w:rsidR="009F3471" w:rsidRPr="00023D86" w:rsidTr="007472BE">
        <w:trPr>
          <w:trHeight w:val="450"/>
        </w:trPr>
        <w:tc>
          <w:tcPr>
            <w:tcW w:w="736" w:type="dxa"/>
            <w:shd w:val="clear" w:color="auto" w:fill="auto"/>
            <w:noWrap/>
            <w:vAlign w:val="center"/>
          </w:tcPr>
          <w:p w:rsidR="009F3471" w:rsidRPr="00023D86" w:rsidRDefault="009F3471" w:rsidP="007472BE">
            <w:pPr>
              <w:jc w:val="center"/>
              <w:rPr>
                <w:sz w:val="22"/>
                <w:szCs w:val="22"/>
                <w:lang w:val="en-GB" w:eastAsia="vi-VN"/>
              </w:rPr>
            </w:pPr>
            <w:r w:rsidRPr="00023D86">
              <w:rPr>
                <w:sz w:val="22"/>
                <w:szCs w:val="22"/>
                <w:lang w:val="en-GB" w:eastAsia="vi-VN"/>
              </w:rPr>
              <w:t>1</w:t>
            </w:r>
          </w:p>
        </w:tc>
        <w:tc>
          <w:tcPr>
            <w:tcW w:w="966" w:type="dxa"/>
            <w:shd w:val="clear" w:color="auto" w:fill="auto"/>
            <w:noWrap/>
            <w:vAlign w:val="center"/>
          </w:tcPr>
          <w:p w:rsidR="009F3471" w:rsidRPr="00023D86" w:rsidRDefault="009F3471" w:rsidP="007472BE">
            <w:pPr>
              <w:jc w:val="center"/>
              <w:rPr>
                <w:lang w:val="en-GB" w:eastAsia="vi-VN"/>
              </w:rPr>
            </w:pPr>
          </w:p>
        </w:tc>
        <w:tc>
          <w:tcPr>
            <w:tcW w:w="850" w:type="dxa"/>
            <w:vAlign w:val="center"/>
          </w:tcPr>
          <w:p w:rsidR="009F3471" w:rsidRPr="00023D86" w:rsidRDefault="009F3471" w:rsidP="007472BE">
            <w:pPr>
              <w:jc w:val="center"/>
              <w:rPr>
                <w:lang w:val="en-GB" w:eastAsia="vi-VN"/>
              </w:rPr>
            </w:pPr>
          </w:p>
        </w:tc>
        <w:tc>
          <w:tcPr>
            <w:tcW w:w="850" w:type="dxa"/>
            <w:vAlign w:val="center"/>
          </w:tcPr>
          <w:p w:rsidR="009F3471" w:rsidRPr="00023D86" w:rsidRDefault="009F3471" w:rsidP="007472BE">
            <w:pPr>
              <w:jc w:val="center"/>
              <w:rPr>
                <w:lang w:val="en-GB" w:eastAsia="vi-VN"/>
              </w:rPr>
            </w:pPr>
          </w:p>
        </w:tc>
        <w:tc>
          <w:tcPr>
            <w:tcW w:w="1134" w:type="dxa"/>
            <w:shd w:val="clear" w:color="auto" w:fill="auto"/>
            <w:noWrap/>
            <w:vAlign w:val="center"/>
          </w:tcPr>
          <w:p w:rsidR="009F3471" w:rsidRPr="00023D86" w:rsidRDefault="009F3471" w:rsidP="007472BE">
            <w:pPr>
              <w:jc w:val="center"/>
              <w:rPr>
                <w:lang w:val="en-GB" w:eastAsia="vi-VN"/>
              </w:rPr>
            </w:pPr>
          </w:p>
        </w:tc>
        <w:tc>
          <w:tcPr>
            <w:tcW w:w="1558" w:type="dxa"/>
            <w:vAlign w:val="center"/>
          </w:tcPr>
          <w:p w:rsidR="009F3471" w:rsidRPr="00023D86" w:rsidRDefault="009F3471" w:rsidP="007472BE">
            <w:pPr>
              <w:jc w:val="center"/>
              <w:rPr>
                <w:lang w:val="en-GB" w:eastAsia="vi-VN"/>
              </w:rPr>
            </w:pPr>
          </w:p>
        </w:tc>
        <w:tc>
          <w:tcPr>
            <w:tcW w:w="994" w:type="dxa"/>
            <w:vAlign w:val="center"/>
          </w:tcPr>
          <w:p w:rsidR="009F3471" w:rsidRPr="00023D86" w:rsidRDefault="009F3471" w:rsidP="007472BE">
            <w:pPr>
              <w:jc w:val="center"/>
              <w:rPr>
                <w:lang w:val="en-GB" w:eastAsia="vi-VN"/>
              </w:rPr>
            </w:pPr>
          </w:p>
        </w:tc>
        <w:tc>
          <w:tcPr>
            <w:tcW w:w="1984" w:type="dxa"/>
            <w:vAlign w:val="center"/>
          </w:tcPr>
          <w:p w:rsidR="009F3471" w:rsidRPr="00023D86" w:rsidRDefault="009F3471" w:rsidP="007472BE">
            <w:pPr>
              <w:jc w:val="center"/>
              <w:rPr>
                <w:lang w:val="en-GB" w:eastAsia="vi-VN"/>
              </w:rPr>
            </w:pPr>
          </w:p>
        </w:tc>
      </w:tr>
      <w:tr w:rsidR="009F3471" w:rsidRPr="00023D86" w:rsidTr="007472BE">
        <w:trPr>
          <w:trHeight w:val="414"/>
        </w:trPr>
        <w:tc>
          <w:tcPr>
            <w:tcW w:w="736" w:type="dxa"/>
            <w:shd w:val="clear" w:color="auto" w:fill="auto"/>
            <w:noWrap/>
            <w:vAlign w:val="center"/>
          </w:tcPr>
          <w:p w:rsidR="009F3471" w:rsidRPr="00023D86" w:rsidRDefault="009F3471" w:rsidP="007472BE">
            <w:pPr>
              <w:jc w:val="center"/>
              <w:rPr>
                <w:sz w:val="22"/>
                <w:szCs w:val="22"/>
                <w:lang w:val="en-GB" w:eastAsia="vi-VN"/>
              </w:rPr>
            </w:pPr>
            <w:r w:rsidRPr="00023D86">
              <w:rPr>
                <w:sz w:val="22"/>
                <w:szCs w:val="22"/>
                <w:lang w:val="en-GB" w:eastAsia="vi-VN"/>
              </w:rPr>
              <w:t>2</w:t>
            </w:r>
          </w:p>
        </w:tc>
        <w:tc>
          <w:tcPr>
            <w:tcW w:w="966" w:type="dxa"/>
            <w:shd w:val="clear" w:color="auto" w:fill="auto"/>
            <w:noWrap/>
            <w:vAlign w:val="center"/>
          </w:tcPr>
          <w:p w:rsidR="009F3471" w:rsidRPr="00023D86" w:rsidRDefault="009F3471" w:rsidP="007472BE">
            <w:pPr>
              <w:jc w:val="center"/>
              <w:rPr>
                <w:lang w:val="en-GB" w:eastAsia="vi-VN"/>
              </w:rPr>
            </w:pPr>
          </w:p>
        </w:tc>
        <w:tc>
          <w:tcPr>
            <w:tcW w:w="850" w:type="dxa"/>
          </w:tcPr>
          <w:p w:rsidR="009F3471" w:rsidRPr="00023D86" w:rsidRDefault="009F3471" w:rsidP="007472BE">
            <w:pPr>
              <w:jc w:val="center"/>
              <w:rPr>
                <w:lang w:val="en-GB" w:eastAsia="vi-VN"/>
              </w:rPr>
            </w:pPr>
          </w:p>
        </w:tc>
        <w:tc>
          <w:tcPr>
            <w:tcW w:w="850" w:type="dxa"/>
          </w:tcPr>
          <w:p w:rsidR="009F3471" w:rsidRPr="00023D86" w:rsidRDefault="009F3471" w:rsidP="007472BE">
            <w:pPr>
              <w:jc w:val="center"/>
              <w:rPr>
                <w:lang w:val="en-GB" w:eastAsia="vi-VN"/>
              </w:rPr>
            </w:pPr>
          </w:p>
        </w:tc>
        <w:tc>
          <w:tcPr>
            <w:tcW w:w="1134" w:type="dxa"/>
            <w:shd w:val="clear" w:color="auto" w:fill="auto"/>
            <w:noWrap/>
            <w:vAlign w:val="center"/>
          </w:tcPr>
          <w:p w:rsidR="009F3471" w:rsidRPr="00023D86" w:rsidRDefault="009F3471" w:rsidP="007472BE">
            <w:pPr>
              <w:jc w:val="center"/>
              <w:rPr>
                <w:lang w:val="en-GB" w:eastAsia="vi-VN"/>
              </w:rPr>
            </w:pPr>
          </w:p>
        </w:tc>
        <w:tc>
          <w:tcPr>
            <w:tcW w:w="1558" w:type="dxa"/>
          </w:tcPr>
          <w:p w:rsidR="009F3471" w:rsidRPr="00023D86" w:rsidRDefault="009F3471" w:rsidP="007472BE">
            <w:pPr>
              <w:jc w:val="center"/>
              <w:rPr>
                <w:lang w:val="en-GB" w:eastAsia="vi-VN"/>
              </w:rPr>
            </w:pPr>
          </w:p>
        </w:tc>
        <w:tc>
          <w:tcPr>
            <w:tcW w:w="994" w:type="dxa"/>
          </w:tcPr>
          <w:p w:rsidR="009F3471" w:rsidRPr="00023D86" w:rsidRDefault="009F3471" w:rsidP="007472BE">
            <w:pPr>
              <w:jc w:val="center"/>
              <w:rPr>
                <w:lang w:val="en-GB" w:eastAsia="vi-VN"/>
              </w:rPr>
            </w:pPr>
          </w:p>
        </w:tc>
        <w:tc>
          <w:tcPr>
            <w:tcW w:w="1984" w:type="dxa"/>
            <w:vAlign w:val="center"/>
          </w:tcPr>
          <w:p w:rsidR="009F3471" w:rsidRPr="00023D86" w:rsidRDefault="009F3471" w:rsidP="007472BE">
            <w:pPr>
              <w:jc w:val="center"/>
              <w:rPr>
                <w:lang w:val="en-GB" w:eastAsia="vi-VN"/>
              </w:rPr>
            </w:pPr>
          </w:p>
        </w:tc>
      </w:tr>
      <w:tr w:rsidR="009F3471" w:rsidRPr="00023D86" w:rsidTr="007472BE">
        <w:trPr>
          <w:trHeight w:val="421"/>
        </w:trPr>
        <w:tc>
          <w:tcPr>
            <w:tcW w:w="736" w:type="dxa"/>
            <w:shd w:val="clear" w:color="auto" w:fill="auto"/>
            <w:noWrap/>
            <w:vAlign w:val="center"/>
          </w:tcPr>
          <w:p w:rsidR="009F3471" w:rsidRPr="00023D86" w:rsidRDefault="009F3471" w:rsidP="007472BE">
            <w:pPr>
              <w:jc w:val="center"/>
              <w:rPr>
                <w:sz w:val="22"/>
                <w:szCs w:val="22"/>
                <w:lang w:val="en-GB" w:eastAsia="vi-VN"/>
              </w:rPr>
            </w:pPr>
            <w:r w:rsidRPr="00023D86">
              <w:rPr>
                <w:sz w:val="22"/>
                <w:szCs w:val="22"/>
                <w:lang w:val="en-GB" w:eastAsia="vi-VN"/>
              </w:rPr>
              <w:t>…</w:t>
            </w:r>
          </w:p>
        </w:tc>
        <w:tc>
          <w:tcPr>
            <w:tcW w:w="966" w:type="dxa"/>
            <w:shd w:val="clear" w:color="auto" w:fill="auto"/>
            <w:noWrap/>
            <w:vAlign w:val="center"/>
          </w:tcPr>
          <w:p w:rsidR="009F3471" w:rsidRPr="00023D86" w:rsidRDefault="009F3471" w:rsidP="007472BE">
            <w:pPr>
              <w:jc w:val="center"/>
              <w:rPr>
                <w:lang w:val="en-GB" w:eastAsia="vi-VN"/>
              </w:rPr>
            </w:pPr>
          </w:p>
        </w:tc>
        <w:tc>
          <w:tcPr>
            <w:tcW w:w="850" w:type="dxa"/>
          </w:tcPr>
          <w:p w:rsidR="009F3471" w:rsidRPr="00023D86" w:rsidRDefault="009F3471" w:rsidP="007472BE">
            <w:pPr>
              <w:jc w:val="center"/>
              <w:rPr>
                <w:lang w:val="en-GB" w:eastAsia="vi-VN"/>
              </w:rPr>
            </w:pPr>
          </w:p>
        </w:tc>
        <w:tc>
          <w:tcPr>
            <w:tcW w:w="850" w:type="dxa"/>
          </w:tcPr>
          <w:p w:rsidR="009F3471" w:rsidRPr="00023D86" w:rsidRDefault="009F3471" w:rsidP="007472BE">
            <w:pPr>
              <w:jc w:val="center"/>
              <w:rPr>
                <w:lang w:val="en-GB" w:eastAsia="vi-VN"/>
              </w:rPr>
            </w:pPr>
          </w:p>
        </w:tc>
        <w:tc>
          <w:tcPr>
            <w:tcW w:w="1134" w:type="dxa"/>
            <w:shd w:val="clear" w:color="auto" w:fill="auto"/>
            <w:noWrap/>
            <w:vAlign w:val="center"/>
          </w:tcPr>
          <w:p w:rsidR="009F3471" w:rsidRPr="00023D86" w:rsidRDefault="009F3471" w:rsidP="007472BE">
            <w:pPr>
              <w:jc w:val="center"/>
              <w:rPr>
                <w:lang w:val="en-GB" w:eastAsia="vi-VN"/>
              </w:rPr>
            </w:pPr>
          </w:p>
        </w:tc>
        <w:tc>
          <w:tcPr>
            <w:tcW w:w="1558" w:type="dxa"/>
          </w:tcPr>
          <w:p w:rsidR="009F3471" w:rsidRPr="00023D86" w:rsidRDefault="009F3471" w:rsidP="007472BE">
            <w:pPr>
              <w:jc w:val="center"/>
              <w:rPr>
                <w:lang w:val="en-GB" w:eastAsia="vi-VN"/>
              </w:rPr>
            </w:pPr>
          </w:p>
        </w:tc>
        <w:tc>
          <w:tcPr>
            <w:tcW w:w="994" w:type="dxa"/>
          </w:tcPr>
          <w:p w:rsidR="009F3471" w:rsidRPr="00023D86" w:rsidRDefault="009F3471" w:rsidP="007472BE">
            <w:pPr>
              <w:jc w:val="center"/>
              <w:rPr>
                <w:lang w:val="en-GB" w:eastAsia="vi-VN"/>
              </w:rPr>
            </w:pPr>
          </w:p>
        </w:tc>
        <w:tc>
          <w:tcPr>
            <w:tcW w:w="1984" w:type="dxa"/>
            <w:vAlign w:val="center"/>
          </w:tcPr>
          <w:p w:rsidR="009F3471" w:rsidRPr="00023D86" w:rsidRDefault="009F3471" w:rsidP="007472BE">
            <w:pPr>
              <w:jc w:val="center"/>
              <w:rPr>
                <w:lang w:val="en-GB" w:eastAsia="vi-VN"/>
              </w:rPr>
            </w:pPr>
          </w:p>
        </w:tc>
      </w:tr>
      <w:tr w:rsidR="009F3471" w:rsidRPr="00023D86" w:rsidTr="007472BE">
        <w:trPr>
          <w:trHeight w:val="458"/>
        </w:trPr>
        <w:tc>
          <w:tcPr>
            <w:tcW w:w="1702" w:type="dxa"/>
            <w:gridSpan w:val="2"/>
            <w:shd w:val="clear" w:color="auto" w:fill="auto"/>
            <w:noWrap/>
            <w:vAlign w:val="center"/>
          </w:tcPr>
          <w:p w:rsidR="009F3471" w:rsidRPr="00023D86" w:rsidRDefault="009F3471" w:rsidP="007472BE">
            <w:pPr>
              <w:jc w:val="center"/>
              <w:rPr>
                <w:sz w:val="22"/>
                <w:szCs w:val="22"/>
                <w:lang w:val="en-GB" w:eastAsia="vi-VN"/>
              </w:rPr>
            </w:pPr>
            <w:r w:rsidRPr="00023D86">
              <w:rPr>
                <w:b/>
                <w:sz w:val="22"/>
                <w:szCs w:val="22"/>
                <w:lang w:val="en-GB" w:eastAsia="vi-VN"/>
              </w:rPr>
              <w:t>Tổng</w:t>
            </w:r>
          </w:p>
        </w:tc>
        <w:tc>
          <w:tcPr>
            <w:tcW w:w="850" w:type="dxa"/>
            <w:vAlign w:val="center"/>
          </w:tcPr>
          <w:p w:rsidR="009F3471" w:rsidRPr="00023D86" w:rsidRDefault="009F3471" w:rsidP="007472BE">
            <w:pPr>
              <w:jc w:val="center"/>
              <w:rPr>
                <w:sz w:val="22"/>
                <w:szCs w:val="22"/>
                <w:lang w:val="en-GB" w:eastAsia="vi-VN"/>
              </w:rPr>
            </w:pPr>
          </w:p>
        </w:tc>
        <w:tc>
          <w:tcPr>
            <w:tcW w:w="850" w:type="dxa"/>
            <w:vAlign w:val="center"/>
          </w:tcPr>
          <w:p w:rsidR="009F3471" w:rsidRPr="00023D86" w:rsidRDefault="009F3471" w:rsidP="007472BE">
            <w:pPr>
              <w:jc w:val="center"/>
              <w:rPr>
                <w:sz w:val="22"/>
                <w:szCs w:val="22"/>
                <w:lang w:val="en-GB" w:eastAsia="vi-VN"/>
              </w:rPr>
            </w:pPr>
          </w:p>
        </w:tc>
        <w:tc>
          <w:tcPr>
            <w:tcW w:w="1134" w:type="dxa"/>
            <w:shd w:val="clear" w:color="auto" w:fill="auto"/>
            <w:noWrap/>
            <w:vAlign w:val="center"/>
          </w:tcPr>
          <w:p w:rsidR="009F3471" w:rsidRPr="00023D86" w:rsidRDefault="009F3471" w:rsidP="007472BE">
            <w:pPr>
              <w:jc w:val="center"/>
              <w:rPr>
                <w:sz w:val="22"/>
                <w:szCs w:val="22"/>
                <w:lang w:val="en-GB" w:eastAsia="vi-VN"/>
              </w:rPr>
            </w:pPr>
            <w:r w:rsidRPr="00023D86">
              <w:rPr>
                <w:sz w:val="22"/>
                <w:szCs w:val="22"/>
                <w:lang w:val="en-GB" w:eastAsia="vi-VN"/>
              </w:rPr>
              <w:t>…</w:t>
            </w:r>
          </w:p>
        </w:tc>
        <w:tc>
          <w:tcPr>
            <w:tcW w:w="1558" w:type="dxa"/>
            <w:vAlign w:val="center"/>
          </w:tcPr>
          <w:p w:rsidR="009F3471" w:rsidRPr="00023D86" w:rsidRDefault="009F3471" w:rsidP="007472BE">
            <w:pPr>
              <w:jc w:val="center"/>
              <w:rPr>
                <w:sz w:val="22"/>
                <w:szCs w:val="22"/>
                <w:lang w:val="en-GB" w:eastAsia="vi-VN"/>
              </w:rPr>
            </w:pPr>
            <w:r w:rsidRPr="00023D86">
              <w:rPr>
                <w:sz w:val="22"/>
                <w:szCs w:val="22"/>
                <w:lang w:val="en-GB" w:eastAsia="vi-VN"/>
              </w:rPr>
              <w:t>…</w:t>
            </w:r>
          </w:p>
        </w:tc>
        <w:tc>
          <w:tcPr>
            <w:tcW w:w="994" w:type="dxa"/>
            <w:vAlign w:val="center"/>
          </w:tcPr>
          <w:p w:rsidR="009F3471" w:rsidRPr="00023D86" w:rsidRDefault="009F3471" w:rsidP="007472BE">
            <w:pPr>
              <w:jc w:val="center"/>
              <w:rPr>
                <w:sz w:val="22"/>
                <w:szCs w:val="22"/>
                <w:lang w:val="en-GB" w:eastAsia="vi-VN"/>
              </w:rPr>
            </w:pPr>
            <w:r w:rsidRPr="00023D86">
              <w:rPr>
                <w:sz w:val="22"/>
                <w:szCs w:val="22"/>
                <w:lang w:val="en-GB" w:eastAsia="vi-VN"/>
              </w:rPr>
              <w:t>…</w:t>
            </w:r>
          </w:p>
        </w:tc>
        <w:tc>
          <w:tcPr>
            <w:tcW w:w="1984" w:type="dxa"/>
            <w:vAlign w:val="center"/>
          </w:tcPr>
          <w:p w:rsidR="009F3471" w:rsidRPr="00023D86" w:rsidRDefault="009F3471" w:rsidP="007472BE">
            <w:pPr>
              <w:jc w:val="center"/>
              <w:rPr>
                <w:sz w:val="22"/>
                <w:szCs w:val="22"/>
                <w:lang w:val="en-GB" w:eastAsia="vi-VN"/>
              </w:rPr>
            </w:pPr>
            <w:r w:rsidRPr="00023D86">
              <w:rPr>
                <w:sz w:val="22"/>
                <w:szCs w:val="22"/>
                <w:lang w:val="en-GB" w:eastAsia="vi-VN"/>
              </w:rPr>
              <w:t>…</w:t>
            </w:r>
          </w:p>
        </w:tc>
      </w:tr>
    </w:tbl>
    <w:p w:rsidR="009F3471" w:rsidRPr="00023D86" w:rsidRDefault="009F3471" w:rsidP="009F3471">
      <w:pPr>
        <w:spacing w:before="120"/>
        <w:ind w:firstLine="720"/>
        <w:jc w:val="both"/>
        <w:rPr>
          <w:b/>
          <w:lang w:val="en-GB"/>
        </w:rPr>
      </w:pPr>
      <w:r w:rsidRPr="00023D86">
        <w:rPr>
          <w:b/>
          <w:lang w:val="en-GB"/>
        </w:rPr>
        <w:t>Ghi chú:</w:t>
      </w:r>
    </w:p>
    <w:p w:rsidR="009F3471" w:rsidRPr="00023D86" w:rsidRDefault="009F3471" w:rsidP="009F3471">
      <w:pPr>
        <w:spacing w:before="120"/>
        <w:ind w:firstLine="720"/>
        <w:jc w:val="both"/>
        <w:rPr>
          <w:i/>
          <w:lang w:val="en-GB"/>
        </w:rPr>
      </w:pPr>
      <w:r w:rsidRPr="0094029F">
        <w:rPr>
          <w:i/>
          <w:lang w:val="en-GB"/>
        </w:rPr>
        <w:t xml:space="preserve">- Tỷ lệ tái cấp vốn, tỷ lệ gia hạn tái cấp vốn (TL) do tổ chức tín dụng tự xác định theo quy định tại Phụ lục số 01 ban hành kèm theo </w:t>
      </w:r>
      <w:r w:rsidRPr="003A7E99">
        <w:rPr>
          <w:i/>
          <w:lang w:val="en-GB"/>
        </w:rPr>
        <w:t xml:space="preserve">Thông tư số 15/2022/TT-NHNN </w:t>
      </w:r>
      <w:r w:rsidRPr="0094029F">
        <w:rPr>
          <w:i/>
          <w:lang w:val="en-GB"/>
        </w:rPr>
        <w:t>là… (đề nghị tổ chức tín dụng nêu rõ tỷ lệ).</w:t>
      </w:r>
    </w:p>
    <w:p w:rsidR="009F3471" w:rsidRPr="00023D86" w:rsidRDefault="009F3471" w:rsidP="009F3471">
      <w:pPr>
        <w:spacing w:before="120"/>
        <w:ind w:firstLine="720"/>
        <w:jc w:val="both"/>
        <w:rPr>
          <w:i/>
          <w:lang w:val="en-GB"/>
        </w:rPr>
      </w:pPr>
      <w:r w:rsidRPr="00023D86">
        <w:rPr>
          <w:i/>
          <w:lang w:val="en-GB"/>
        </w:rPr>
        <w:t xml:space="preserve">- Tổ chức tín dụng cam kết và chịu hoàn toàn trách nhiệm về các thông tin, số liệu tại Bảng kê này là chính xác, trái phiếu đặc biệt tại Bảng kê đáp ứng đầy đủ điều kiện quy định tại Điều </w:t>
      </w:r>
      <w:r w:rsidRPr="00023D86">
        <w:rPr>
          <w:i/>
        </w:rPr>
        <w:t>4</w:t>
      </w:r>
      <w:r w:rsidRPr="00023D86">
        <w:rPr>
          <w:i/>
          <w:lang w:val="en-GB"/>
        </w:rPr>
        <w:t xml:space="preserve"> </w:t>
      </w:r>
      <w:r w:rsidRPr="003A7E99">
        <w:rPr>
          <w:i/>
          <w:lang w:val="en-GB"/>
        </w:rPr>
        <w:t xml:space="preserve">Thông tư số 15/2022/TT-NHNN </w:t>
      </w:r>
      <w:r w:rsidRPr="00023D86">
        <w:rPr>
          <w:i/>
          <w:lang w:val="en-GB"/>
        </w:rPr>
        <w:t>quy định về tái cấp vốn trên cơ sở trái phiếu đặc biệt của Công ty Quản lý tài sản của các tổ chức tín dụng Việt Nam.</w:t>
      </w:r>
    </w:p>
    <w:p w:rsidR="009F3471" w:rsidRPr="00023D86" w:rsidRDefault="009F3471" w:rsidP="009F3471">
      <w:pPr>
        <w:spacing w:before="120"/>
        <w:ind w:firstLine="709"/>
        <w:jc w:val="both"/>
      </w:pPr>
      <w:r w:rsidRPr="00023D86">
        <w:rPr>
          <w:i/>
        </w:rPr>
        <w:t>Bảng kê này thay thế Bảng kê số......... ngày..... tháng.......năm.........</w:t>
      </w:r>
      <w:r w:rsidRPr="00023D86">
        <w:t xml:space="preserve"> (đối với trường hợp tổ chức tín dụng cập nhật hồ sơ đề nghị vay tái cấp vốn, hồ sơ đề nghị gia hạn vay tái cấp vốn).</w:t>
      </w:r>
    </w:p>
    <w:p w:rsidR="009F3471" w:rsidRPr="00023D86" w:rsidRDefault="009F3471" w:rsidP="009F3471">
      <w:pPr>
        <w:jc w:val="right"/>
        <w:rPr>
          <w:i/>
          <w:lang w:val="en-GB"/>
        </w:rPr>
      </w:pPr>
      <w:r w:rsidRPr="00023D86">
        <w:rPr>
          <w:i/>
          <w:lang w:val="en-GB"/>
        </w:rPr>
        <w:t xml:space="preserve">…, ngày  …   tháng   …  năm …  </w:t>
      </w:r>
    </w:p>
    <w:p w:rsidR="009F3471" w:rsidRPr="00023D86" w:rsidRDefault="009F3471" w:rsidP="009F3471">
      <w:pPr>
        <w:jc w:val="both"/>
        <w:rPr>
          <w:lang w:val="en-GB"/>
        </w:rPr>
      </w:pPr>
    </w:p>
    <w:tbl>
      <w:tblPr>
        <w:tblW w:w="9356" w:type="dxa"/>
        <w:tblInd w:w="-34" w:type="dxa"/>
        <w:tblLook w:val="04A0" w:firstRow="1" w:lastRow="0" w:firstColumn="1" w:lastColumn="0" w:noHBand="0" w:noVBand="1"/>
      </w:tblPr>
      <w:tblGrid>
        <w:gridCol w:w="2269"/>
        <w:gridCol w:w="2410"/>
        <w:gridCol w:w="4677"/>
      </w:tblGrid>
      <w:tr w:rsidR="009F3471" w:rsidRPr="00023D86" w:rsidTr="007472BE">
        <w:trPr>
          <w:trHeight w:val="930"/>
        </w:trPr>
        <w:tc>
          <w:tcPr>
            <w:tcW w:w="2269" w:type="dxa"/>
          </w:tcPr>
          <w:p w:rsidR="009F3471" w:rsidRPr="00023D86" w:rsidRDefault="009F3471" w:rsidP="007472BE">
            <w:pPr>
              <w:jc w:val="center"/>
              <w:rPr>
                <w:b/>
                <w:lang w:val="en-GB"/>
              </w:rPr>
            </w:pPr>
            <w:r w:rsidRPr="00023D86">
              <w:rPr>
                <w:b/>
                <w:lang w:val="en-GB"/>
              </w:rPr>
              <w:t>Lập biểu</w:t>
            </w:r>
          </w:p>
          <w:p w:rsidR="009F3471" w:rsidRPr="00023D86" w:rsidRDefault="009F3471" w:rsidP="007472BE">
            <w:pPr>
              <w:jc w:val="center"/>
              <w:rPr>
                <w:b/>
                <w:lang w:val="en-GB"/>
              </w:rPr>
            </w:pPr>
            <w:r w:rsidRPr="00023D86">
              <w:rPr>
                <w:rFonts w:eastAsiaTheme="minorHAnsi"/>
                <w:i/>
                <w:lang w:val="en-GB"/>
              </w:rPr>
              <w:t>(Ký, ghi rõ họ tên)</w:t>
            </w:r>
          </w:p>
        </w:tc>
        <w:tc>
          <w:tcPr>
            <w:tcW w:w="2410" w:type="dxa"/>
          </w:tcPr>
          <w:p w:rsidR="009F3471" w:rsidRPr="00023D86" w:rsidRDefault="009F3471" w:rsidP="007472BE">
            <w:pPr>
              <w:jc w:val="center"/>
              <w:rPr>
                <w:b/>
                <w:lang w:val="en-GB"/>
              </w:rPr>
            </w:pPr>
            <w:r w:rsidRPr="00023D86">
              <w:rPr>
                <w:b/>
                <w:lang w:val="en-GB"/>
              </w:rPr>
              <w:t>Kiểm soát</w:t>
            </w:r>
          </w:p>
          <w:p w:rsidR="009F3471" w:rsidRPr="00023D86" w:rsidRDefault="009F3471" w:rsidP="007472BE">
            <w:pPr>
              <w:jc w:val="center"/>
              <w:rPr>
                <w:lang w:val="en-GB"/>
              </w:rPr>
            </w:pPr>
            <w:r w:rsidRPr="00023D86">
              <w:rPr>
                <w:rFonts w:eastAsiaTheme="minorHAnsi"/>
                <w:i/>
                <w:lang w:val="en-GB"/>
              </w:rPr>
              <w:t>(Ký, ghi rõ họ tên)</w:t>
            </w:r>
          </w:p>
        </w:tc>
        <w:tc>
          <w:tcPr>
            <w:tcW w:w="4677" w:type="dxa"/>
          </w:tcPr>
          <w:p w:rsidR="009F3471" w:rsidRPr="00023D86" w:rsidRDefault="009F3471" w:rsidP="007472BE">
            <w:pPr>
              <w:jc w:val="center"/>
              <w:rPr>
                <w:b/>
                <w:lang w:val="en-GB"/>
              </w:rPr>
            </w:pPr>
            <w:r w:rsidRPr="00023D86">
              <w:rPr>
                <w:b/>
                <w:lang w:val="en-GB"/>
              </w:rPr>
              <w:t>Người đại diện hợp pháp của</w:t>
            </w:r>
          </w:p>
          <w:p w:rsidR="009F3471" w:rsidRPr="00023D86" w:rsidRDefault="009F3471" w:rsidP="007472BE">
            <w:pPr>
              <w:jc w:val="center"/>
              <w:rPr>
                <w:b/>
                <w:lang w:val="en-GB"/>
              </w:rPr>
            </w:pPr>
            <w:r w:rsidRPr="00023D86">
              <w:rPr>
                <w:b/>
                <w:lang w:val="en-GB"/>
              </w:rPr>
              <w:t>tổ chức tín dụng</w:t>
            </w:r>
          </w:p>
          <w:p w:rsidR="009F3471" w:rsidRPr="00023D86" w:rsidRDefault="009F3471" w:rsidP="007472BE">
            <w:pPr>
              <w:jc w:val="center"/>
              <w:rPr>
                <w:i/>
                <w:lang w:val="en-GB"/>
              </w:rPr>
            </w:pPr>
            <w:r w:rsidRPr="00023D86">
              <w:rPr>
                <w:rFonts w:eastAsiaTheme="minorHAnsi"/>
                <w:i/>
                <w:lang w:val="en-GB"/>
              </w:rPr>
              <w:t>(Ký, ghi rõ chức danh, họ tên và đóng dấu)</w:t>
            </w:r>
          </w:p>
        </w:tc>
      </w:tr>
    </w:tbl>
    <w:p w:rsidR="009F3471" w:rsidRPr="00023D86" w:rsidRDefault="009F3471" w:rsidP="009F3471">
      <w:pPr>
        <w:tabs>
          <w:tab w:val="left" w:pos="1241"/>
        </w:tabs>
        <w:rPr>
          <w:sz w:val="20"/>
          <w:lang w:val="en-GB"/>
        </w:rPr>
      </w:pPr>
      <w:r w:rsidRPr="00023D86">
        <w:rPr>
          <w:sz w:val="20"/>
          <w:lang w:val="en-GB"/>
        </w:rPr>
        <w:tab/>
      </w:r>
    </w:p>
    <w:p w:rsidR="009F3471" w:rsidRPr="00023D86" w:rsidRDefault="009F3471" w:rsidP="009F3471">
      <w:pPr>
        <w:jc w:val="both"/>
        <w:rPr>
          <w:b/>
          <w:i/>
          <w:lang w:val="en-GB"/>
        </w:rPr>
      </w:pPr>
      <w:r w:rsidRPr="00023D86">
        <w:rPr>
          <w:b/>
          <w:i/>
          <w:lang w:val="en-GB"/>
        </w:rPr>
        <w:tab/>
        <w:t xml:space="preserve">Hướng dẫn lập Bảng kê: </w:t>
      </w:r>
    </w:p>
    <w:p w:rsidR="009F3471" w:rsidRPr="00023D86" w:rsidRDefault="009F3471" w:rsidP="009F3471">
      <w:pPr>
        <w:spacing w:before="120"/>
        <w:jc w:val="both"/>
        <w:rPr>
          <w:lang w:val="en-GB"/>
        </w:rPr>
      </w:pPr>
      <w:r w:rsidRPr="00023D86">
        <w:rPr>
          <w:lang w:val="en-GB"/>
        </w:rPr>
        <w:tab/>
        <w:t>- Các số liệu, thông tin về trái phiếu đặc biệt tính đến thời điểm gần nhất khi tổ chức tín dụng gửi hồ sơ đề nghị vay tái cấp vốn, hồ sơ đề nghị gia hạn vay tái cấp vốn theo quy định tại Điều 1</w:t>
      </w:r>
      <w:r w:rsidRPr="00023D86">
        <w:t>0</w:t>
      </w:r>
      <w:r w:rsidRPr="00023D86">
        <w:rPr>
          <w:lang w:val="en-GB"/>
        </w:rPr>
        <w:t xml:space="preserve"> </w:t>
      </w:r>
      <w:r w:rsidRPr="003A7E99">
        <w:rPr>
          <w:lang w:val="en-GB"/>
        </w:rPr>
        <w:t>Thông tư số 15/2022/TT-NHNN</w:t>
      </w:r>
      <w:r w:rsidRPr="00023D86">
        <w:rPr>
          <w:lang w:val="en-GB"/>
        </w:rPr>
        <w:t xml:space="preserve">. </w:t>
      </w:r>
    </w:p>
    <w:p w:rsidR="009F3471" w:rsidRPr="00023D86" w:rsidRDefault="009F3471" w:rsidP="009F3471">
      <w:pPr>
        <w:spacing w:before="120"/>
        <w:jc w:val="both"/>
        <w:rPr>
          <w:lang w:val="en-GB"/>
        </w:rPr>
      </w:pPr>
      <w:r w:rsidRPr="00023D86">
        <w:rPr>
          <w:lang w:val="en-GB"/>
        </w:rPr>
        <w:tab/>
        <w:t>- Cột (2): Liệt kê theo thứ tự mã trái phiếu đặc biệt.</w:t>
      </w:r>
    </w:p>
    <w:p w:rsidR="009F3471" w:rsidRPr="00023D86" w:rsidRDefault="009F3471" w:rsidP="009F3471">
      <w:pPr>
        <w:spacing w:before="120"/>
        <w:jc w:val="both"/>
        <w:rPr>
          <w:lang w:val="en-GB"/>
        </w:rPr>
      </w:pPr>
      <w:r w:rsidRPr="00023D86">
        <w:rPr>
          <w:lang w:val="en-GB"/>
        </w:rPr>
        <w:tab/>
        <w:t xml:space="preserve">- Cột (8): Giá trị phải lớn hơn 0 và phải đảm bảo nguyên tắc: </w:t>
      </w:r>
    </w:p>
    <w:p w:rsidR="009F3471" w:rsidRPr="00023D86" w:rsidRDefault="009F3471" w:rsidP="009F3471">
      <w:pPr>
        <w:spacing w:before="120"/>
        <w:jc w:val="both"/>
        <w:rPr>
          <w:lang w:val="en-GB"/>
        </w:rPr>
      </w:pPr>
      <w:r w:rsidRPr="00023D86">
        <w:rPr>
          <w:lang w:val="en-GB"/>
        </w:rPr>
        <w:lastRenderedPageBreak/>
        <w:t xml:space="preserve">Tổng giá trị tại cột (8) </w:t>
      </w:r>
      <m:oMath>
        <m:r>
          <w:rPr>
            <w:rFonts w:ascii="Cambria Math" w:hAnsi="Cambria Math"/>
            <w:lang w:val="en-GB"/>
          </w:rPr>
          <m:t>≥</m:t>
        </m:r>
        <m:f>
          <m:fPr>
            <m:ctrlPr>
              <w:rPr>
                <w:rFonts w:ascii="Cambria Math" w:hAnsi="Cambria Math"/>
                <w:i/>
                <w:lang w:val="en-GB"/>
              </w:rPr>
            </m:ctrlPr>
          </m:fPr>
          <m:num>
            <m:r>
              <w:rPr>
                <w:rFonts w:ascii="Cambria Math" w:hAnsi="Cambria Math"/>
                <w:lang w:val="en-GB"/>
              </w:rPr>
              <m:t>ST</m:t>
            </m:r>
          </m:num>
          <m:den>
            <m:r>
              <w:rPr>
                <w:rFonts w:ascii="Cambria Math" w:hAnsi="Cambria Math"/>
                <w:lang w:val="en-GB"/>
              </w:rPr>
              <m:t>TL</m:t>
            </m:r>
          </m:den>
        </m:f>
      </m:oMath>
      <w:r w:rsidRPr="00023D86">
        <w:rPr>
          <w:lang w:val="en-GB"/>
        </w:rPr>
        <w:t>. Trong đó:</w:t>
      </w:r>
    </w:p>
    <w:p w:rsidR="009F3471" w:rsidRPr="00023D86" w:rsidRDefault="009F3471" w:rsidP="009F3471">
      <w:pPr>
        <w:spacing w:before="120"/>
        <w:jc w:val="both"/>
        <w:rPr>
          <w:lang w:val="en-GB"/>
        </w:rPr>
      </w:pPr>
      <w:r w:rsidRPr="00023D86">
        <w:rPr>
          <w:lang w:val="en-GB"/>
        </w:rPr>
        <w:t xml:space="preserve">+) ST là số tiền tổ chức tín dụng đề nghị vay tái cấp vốn, gia hạn vay tái cấp vốn; </w:t>
      </w:r>
      <w:bookmarkStart w:id="0" w:name="OLE_LINK35"/>
    </w:p>
    <w:p w:rsidR="009F3471" w:rsidRPr="00023D86" w:rsidRDefault="009F3471" w:rsidP="009F3471">
      <w:pPr>
        <w:spacing w:before="120"/>
        <w:jc w:val="both"/>
        <w:rPr>
          <w:lang w:val="en-GB"/>
        </w:rPr>
      </w:pPr>
      <w:r w:rsidRPr="00023D86">
        <w:rPr>
          <w:lang w:val="en-GB"/>
        </w:rPr>
        <w:t xml:space="preserve">+) TL là tỷ lệ tái cấp vốn, tỷ lệ gia hạn tái cấp vốn do tổ chức tín dụng tự xác định theo quy định tại Phụ lục số 01 ban hành kèm theo </w:t>
      </w:r>
      <w:r w:rsidRPr="003A7E99">
        <w:rPr>
          <w:lang w:val="en-GB"/>
        </w:rPr>
        <w:t>Thông tư số 15/2022/TT-NHNN</w:t>
      </w:r>
      <w:r w:rsidRPr="00023D86">
        <w:rPr>
          <w:lang w:val="en-GB"/>
        </w:rPr>
        <w:t>.</w:t>
      </w:r>
    </w:p>
    <w:bookmarkEnd w:id="0"/>
    <w:p w:rsidR="009F3471" w:rsidRPr="00023D86" w:rsidRDefault="009F3471" w:rsidP="009F3471">
      <w:pPr>
        <w:spacing w:before="120"/>
        <w:jc w:val="both"/>
        <w:rPr>
          <w:lang w:val="en-GB"/>
        </w:rPr>
      </w:pPr>
      <w:r w:rsidRPr="00023D86">
        <w:rPr>
          <w:lang w:val="en-GB"/>
        </w:rPr>
        <w:tab/>
      </w:r>
    </w:p>
    <w:p w:rsidR="009F3471" w:rsidRPr="00BA09BE" w:rsidRDefault="009F3471" w:rsidP="009F3471">
      <w:pPr>
        <w:ind w:firstLine="720"/>
      </w:pPr>
    </w:p>
    <w:p w:rsidR="009E4E6B" w:rsidRDefault="009E4E6B">
      <w:bookmarkStart w:id="1" w:name="_GoBack"/>
      <w:bookmarkEnd w:id="1"/>
    </w:p>
    <w:sectPr w:rsidR="009E4E6B" w:rsidSect="00045B6A">
      <w:pgSz w:w="11907" w:h="16840" w:code="9"/>
      <w:pgMar w:top="1134" w:right="850" w:bottom="1134" w:left="1701" w:header="567" w:footer="454"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471"/>
    <w:rsid w:val="009E4E6B"/>
    <w:rsid w:val="009F3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30075-5AB5-49E0-BCE0-C652F135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4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34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dc:creator>
  <cp:keywords/>
  <dc:description/>
  <cp:lastModifiedBy>Thao</cp:lastModifiedBy>
  <cp:revision>1</cp:revision>
  <dcterms:created xsi:type="dcterms:W3CDTF">2022-12-26T07:53:00Z</dcterms:created>
  <dcterms:modified xsi:type="dcterms:W3CDTF">2022-12-26T07:54:00Z</dcterms:modified>
</cp:coreProperties>
</file>