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A82" w:rsidRPr="000C6141" w:rsidRDefault="00235A82" w:rsidP="00235A82">
      <w:pPr>
        <w:spacing w:after="120"/>
        <w:jc w:val="center"/>
        <w:rPr>
          <w:b/>
          <w:color w:val="000000"/>
          <w:szCs w:val="28"/>
          <w:lang w:val="nl-NL"/>
        </w:rPr>
      </w:pPr>
      <w:r w:rsidRPr="000C6141">
        <w:rPr>
          <w:b/>
          <w:color w:val="000000"/>
          <w:szCs w:val="28"/>
          <w:lang w:val="nl-NL"/>
        </w:rPr>
        <w:t>DAN</w:t>
      </w:r>
      <w:bookmarkStart w:id="0" w:name="_GoBack"/>
      <w:bookmarkEnd w:id="0"/>
      <w:r w:rsidRPr="000C6141">
        <w:rPr>
          <w:b/>
          <w:color w:val="000000"/>
          <w:szCs w:val="28"/>
          <w:lang w:val="nl-NL"/>
        </w:rPr>
        <w:t>H MỤC HỒ SƠ</w:t>
      </w:r>
    </w:p>
    <w:tbl>
      <w:tblPr>
        <w:tblW w:w="9583" w:type="dxa"/>
        <w:tblInd w:w="96" w:type="dxa"/>
        <w:tblLook w:val="04A0" w:firstRow="1" w:lastRow="0" w:firstColumn="1" w:lastColumn="0" w:noHBand="0" w:noVBand="1"/>
      </w:tblPr>
      <w:tblGrid>
        <w:gridCol w:w="670"/>
        <w:gridCol w:w="1531"/>
        <w:gridCol w:w="922"/>
        <w:gridCol w:w="2559"/>
        <w:gridCol w:w="1176"/>
        <w:gridCol w:w="1162"/>
        <w:gridCol w:w="1563"/>
      </w:tblGrid>
      <w:tr w:rsidR="00235A82" w:rsidRPr="000C6141" w:rsidTr="009C5940">
        <w:trPr>
          <w:cantSplit/>
          <w:trHeight w:val="312"/>
        </w:trPr>
        <w:tc>
          <w:tcPr>
            <w:tcW w:w="6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b/>
                <w:bCs/>
                <w:color w:val="000000"/>
              </w:rPr>
            </w:pPr>
            <w:r w:rsidRPr="000C6141">
              <w:rPr>
                <w:b/>
                <w:bCs/>
                <w:color w:val="000000"/>
              </w:rPr>
              <w:t>STT</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b/>
                <w:bCs/>
                <w:color w:val="000000"/>
              </w:rPr>
            </w:pPr>
            <w:r w:rsidRPr="000C6141">
              <w:rPr>
                <w:b/>
                <w:bCs/>
                <w:color w:val="000000"/>
              </w:rPr>
              <w:t>Ký hiệu biểu</w:t>
            </w: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35A82" w:rsidRPr="000C6141" w:rsidRDefault="00235A82" w:rsidP="009C5940">
            <w:pPr>
              <w:spacing w:before="60" w:after="60"/>
              <w:jc w:val="center"/>
              <w:rPr>
                <w:b/>
                <w:bCs/>
                <w:color w:val="000000"/>
              </w:rPr>
            </w:pPr>
            <w:r w:rsidRPr="000C6141">
              <w:rPr>
                <w:b/>
                <w:bCs/>
                <w:color w:val="000000"/>
              </w:rPr>
              <w:t>Thông tư</w:t>
            </w:r>
          </w:p>
        </w:tc>
        <w:tc>
          <w:tcPr>
            <w:tcW w:w="2559" w:type="dxa"/>
            <w:vMerge w:val="restart"/>
            <w:tcBorders>
              <w:top w:val="single" w:sz="4" w:space="0" w:color="auto"/>
              <w:left w:val="single" w:sz="4" w:space="0" w:color="auto"/>
              <w:bottom w:val="single" w:sz="4" w:space="0" w:color="000000"/>
              <w:right w:val="nil"/>
            </w:tcBorders>
            <w:shd w:val="clear" w:color="auto" w:fill="FFFFFF"/>
            <w:vAlign w:val="center"/>
            <w:hideMark/>
          </w:tcPr>
          <w:p w:rsidR="00235A82" w:rsidRPr="000C6141" w:rsidRDefault="00235A82" w:rsidP="009C5940">
            <w:pPr>
              <w:spacing w:before="60" w:after="60"/>
              <w:jc w:val="center"/>
              <w:rPr>
                <w:b/>
                <w:bCs/>
                <w:color w:val="000000"/>
              </w:rPr>
            </w:pPr>
            <w:r w:rsidRPr="000C6141">
              <w:rPr>
                <w:b/>
                <w:bCs/>
                <w:color w:val="000000"/>
              </w:rPr>
              <w:t>Tên biểu báo cáo</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b/>
                <w:bCs/>
                <w:color w:val="000000"/>
              </w:rPr>
            </w:pPr>
            <w:r w:rsidRPr="000C6141">
              <w:rPr>
                <w:b/>
                <w:bCs/>
                <w:color w:val="000000"/>
              </w:rPr>
              <w:t>Đơn vị báo cáo</w:t>
            </w:r>
          </w:p>
        </w:tc>
        <w:tc>
          <w:tcPr>
            <w:tcW w:w="1563" w:type="dxa"/>
            <w:vMerge w:val="restart"/>
            <w:tcBorders>
              <w:top w:val="single" w:sz="4" w:space="0" w:color="auto"/>
              <w:left w:val="single" w:sz="4" w:space="0" w:color="auto"/>
              <w:bottom w:val="single" w:sz="4" w:space="0" w:color="auto"/>
              <w:right w:val="single" w:sz="4" w:space="0" w:color="auto"/>
            </w:tcBorders>
            <w:noWrap/>
            <w:vAlign w:val="center"/>
            <w:hideMark/>
          </w:tcPr>
          <w:p w:rsidR="00235A82" w:rsidRPr="000C6141" w:rsidRDefault="00235A82" w:rsidP="009C5940">
            <w:pPr>
              <w:spacing w:before="60" w:after="60"/>
              <w:jc w:val="center"/>
              <w:rPr>
                <w:b/>
                <w:bCs/>
                <w:color w:val="000000"/>
              </w:rPr>
            </w:pPr>
            <w:r w:rsidRPr="000C6141">
              <w:rPr>
                <w:b/>
                <w:bCs/>
                <w:color w:val="000000"/>
              </w:rPr>
              <w:t>Ghi chú</w:t>
            </w:r>
          </w:p>
        </w:tc>
      </w:tr>
      <w:tr w:rsidR="00235A82" w:rsidRPr="000C6141" w:rsidTr="009C5940">
        <w:trPr>
          <w:cantSplit/>
          <w:trHeight w:val="15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82" w:rsidRPr="000C6141" w:rsidRDefault="00235A82" w:rsidP="009C5940">
            <w:pPr>
              <w:spacing w:before="60" w:after="60"/>
              <w:jc w:val="both"/>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82" w:rsidRPr="000C6141" w:rsidRDefault="00235A82" w:rsidP="009C5940">
            <w:pPr>
              <w:spacing w:before="60" w:after="60"/>
              <w:jc w:val="both"/>
              <w:rPr>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b/>
                <w:bCs/>
                <w:color w:val="000000"/>
              </w:rPr>
            </w:pPr>
          </w:p>
        </w:tc>
        <w:tc>
          <w:tcPr>
            <w:tcW w:w="0" w:type="auto"/>
            <w:vMerge/>
            <w:tcBorders>
              <w:top w:val="single" w:sz="4" w:space="0" w:color="auto"/>
              <w:left w:val="single" w:sz="4" w:space="0" w:color="auto"/>
              <w:bottom w:val="single" w:sz="4" w:space="0" w:color="000000"/>
              <w:right w:val="nil"/>
            </w:tcBorders>
            <w:vAlign w:val="center"/>
            <w:hideMark/>
          </w:tcPr>
          <w:p w:rsidR="00235A82" w:rsidRPr="000C6141" w:rsidRDefault="00235A82" w:rsidP="009C5940">
            <w:pPr>
              <w:spacing w:before="60" w:after="60"/>
              <w:jc w:val="both"/>
              <w:rPr>
                <w:b/>
                <w:bCs/>
                <w:color w:val="000000"/>
              </w:rPr>
            </w:pPr>
          </w:p>
        </w:tc>
        <w:tc>
          <w:tcPr>
            <w:tcW w:w="1176"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ind w:right="-66"/>
              <w:jc w:val="both"/>
              <w:rPr>
                <w:color w:val="000000"/>
              </w:rPr>
            </w:pPr>
            <w:r w:rsidRPr="000C6141">
              <w:rPr>
                <w:color w:val="000000"/>
              </w:rPr>
              <w:t>Đơn vị dự toán cấp I không có đơn vị trực thuộc</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ind w:right="-38"/>
              <w:jc w:val="both"/>
              <w:rPr>
                <w:color w:val="000000"/>
              </w:rPr>
            </w:pPr>
            <w:r w:rsidRPr="000C6141">
              <w:rPr>
                <w:color w:val="000000"/>
              </w:rPr>
              <w:t>Đơn vị dự toán cấp I có các đơn vị trực thuộc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82" w:rsidRPr="000C6141" w:rsidRDefault="00235A82" w:rsidP="009C5940">
            <w:pPr>
              <w:spacing w:before="60" w:after="60"/>
              <w:jc w:val="both"/>
              <w:rPr>
                <w:b/>
                <w:bCs/>
                <w:color w:val="000000"/>
              </w:rPr>
            </w:pPr>
          </w:p>
        </w:tc>
      </w:tr>
      <w:tr w:rsidR="00235A82" w:rsidRPr="000C6141" w:rsidTr="009C5940">
        <w:trPr>
          <w:cantSplit/>
          <w:trHeight w:val="565"/>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I</w:t>
            </w:r>
          </w:p>
        </w:tc>
        <w:tc>
          <w:tcPr>
            <w:tcW w:w="5012" w:type="dxa"/>
            <w:gridSpan w:val="3"/>
            <w:tcBorders>
              <w:top w:val="single" w:sz="4" w:space="0" w:color="auto"/>
              <w:left w:val="nil"/>
              <w:bottom w:val="single" w:sz="4" w:space="0" w:color="auto"/>
              <w:right w:val="nil"/>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BÁO CÁO TÀI CHÍNH</w:t>
            </w:r>
          </w:p>
        </w:tc>
        <w:tc>
          <w:tcPr>
            <w:tcW w:w="1176"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 </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 </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b/>
                <w:bCs/>
                <w:color w:val="000000"/>
              </w:rPr>
            </w:pPr>
            <w:r w:rsidRPr="000C6141">
              <w:rPr>
                <w:b/>
                <w:bCs/>
                <w:color w:val="000000"/>
              </w:rPr>
              <w:t> </w:t>
            </w:r>
          </w:p>
        </w:tc>
      </w:tr>
      <w:tr w:rsidR="00235A82" w:rsidRPr="000C6141" w:rsidTr="009C5940">
        <w:trPr>
          <w:cantSplit/>
          <w:trHeight w:val="545"/>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1</w:t>
            </w:r>
          </w:p>
        </w:tc>
        <w:tc>
          <w:tcPr>
            <w:tcW w:w="7350" w:type="dxa"/>
            <w:gridSpan w:val="5"/>
            <w:tcBorders>
              <w:top w:val="single" w:sz="4" w:space="0" w:color="auto"/>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Mẫu báo cáo tài chính đầy đủ</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312"/>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B01/BCTC</w:t>
            </w:r>
          </w:p>
        </w:tc>
        <w:tc>
          <w:tcPr>
            <w:tcW w:w="922" w:type="dxa"/>
            <w:vMerge w:val="restart"/>
            <w:tcBorders>
              <w:top w:val="nil"/>
              <w:left w:val="single" w:sz="4" w:space="0" w:color="auto"/>
              <w:bottom w:val="single" w:sz="4" w:space="0" w:color="000000"/>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TT 107</w:t>
            </w: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tình hình tài chính</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312"/>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B02/BCTC</w:t>
            </w:r>
          </w:p>
        </w:tc>
        <w:tc>
          <w:tcPr>
            <w:tcW w:w="0" w:type="auto"/>
            <w:vMerge/>
            <w:tcBorders>
              <w:top w:val="nil"/>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kết quả hoạt động</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624"/>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B03a/BCTC</w:t>
            </w:r>
          </w:p>
        </w:tc>
        <w:tc>
          <w:tcPr>
            <w:tcW w:w="0" w:type="auto"/>
            <w:vMerge/>
            <w:tcBorders>
              <w:top w:val="nil"/>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lưu chuyển tiền tệ (theo phương pháp trực tiếp)</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624"/>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B03b/BCTC</w:t>
            </w:r>
          </w:p>
        </w:tc>
        <w:tc>
          <w:tcPr>
            <w:tcW w:w="0" w:type="auto"/>
            <w:vMerge/>
            <w:tcBorders>
              <w:top w:val="nil"/>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lưu chuyển tiền tệ (theo phương pháp gián tiếp)</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312"/>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B04/BCTC</w:t>
            </w:r>
          </w:p>
        </w:tc>
        <w:tc>
          <w:tcPr>
            <w:tcW w:w="0" w:type="auto"/>
            <w:vMerge/>
            <w:tcBorders>
              <w:top w:val="nil"/>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Thuyết minh báo cáo tài chính</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924"/>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2</w:t>
            </w:r>
          </w:p>
        </w:tc>
        <w:tc>
          <w:tcPr>
            <w:tcW w:w="7350" w:type="dxa"/>
            <w:gridSpan w:val="5"/>
            <w:tcBorders>
              <w:top w:val="single" w:sz="4" w:space="0" w:color="auto"/>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Mẫu báo cáo tài chính đơn giản</w:t>
            </w:r>
            <w:r>
              <w:rPr>
                <w:b/>
                <w:bCs/>
                <w:color w:val="000000"/>
              </w:rPr>
              <w:t xml:space="preserve"> (</w:t>
            </w:r>
            <w:r w:rsidRPr="000C6141">
              <w:rPr>
                <w:color w:val="000000"/>
              </w:rPr>
              <w:t>Chỉ áp dụng đối với các đơn vị thỏa mãn điều kiện tại điểm b khoản 5 Điều 7 TT số 107/2017/TT-BTC (*)</w:t>
            </w:r>
            <w:r>
              <w:rPr>
                <w:color w:val="000000"/>
              </w:rPr>
              <w:t>)</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993"/>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B05/BCTC</w:t>
            </w:r>
          </w:p>
        </w:tc>
        <w:tc>
          <w:tcPr>
            <w:tcW w:w="92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TT 107</w:t>
            </w: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tài chính</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p>
        </w:tc>
        <w:tc>
          <w:tcPr>
            <w:tcW w:w="1563" w:type="dxa"/>
            <w:tcBorders>
              <w:top w:val="nil"/>
              <w:left w:val="nil"/>
              <w:bottom w:val="single" w:sz="4" w:space="0" w:color="auto"/>
              <w:right w:val="single" w:sz="4" w:space="0" w:color="auto"/>
            </w:tcBorders>
            <w:vAlign w:val="center"/>
            <w:hideMark/>
          </w:tcPr>
          <w:p w:rsidR="00235A82" w:rsidRPr="000C6141" w:rsidRDefault="00235A82" w:rsidP="009C5940">
            <w:pPr>
              <w:spacing w:before="60" w:after="60"/>
              <w:jc w:val="both"/>
              <w:rPr>
                <w:color w:val="000000"/>
              </w:rPr>
            </w:pPr>
          </w:p>
        </w:tc>
      </w:tr>
      <w:tr w:rsidR="00235A82" w:rsidRPr="000C6141" w:rsidTr="009C5940">
        <w:trPr>
          <w:cantSplit/>
          <w:trHeight w:val="528"/>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3</w:t>
            </w:r>
          </w:p>
        </w:tc>
        <w:tc>
          <w:tcPr>
            <w:tcW w:w="7350" w:type="dxa"/>
            <w:gridSpan w:val="5"/>
            <w:tcBorders>
              <w:top w:val="single" w:sz="4" w:space="0" w:color="auto"/>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Mẫu báo cáo tài chính tổng hợp</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586"/>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B01/BCTC-TH</w:t>
            </w:r>
          </w:p>
        </w:tc>
        <w:tc>
          <w:tcPr>
            <w:tcW w:w="922" w:type="dxa"/>
            <w:vMerge w:val="restart"/>
            <w:tcBorders>
              <w:top w:val="nil"/>
              <w:left w:val="single" w:sz="4" w:space="0" w:color="auto"/>
              <w:bottom w:val="single" w:sz="4" w:space="0" w:color="000000"/>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TT 99</w:t>
            </w: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tình hình tài chính tổng hợp</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594"/>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B02/BCTC-TH</w:t>
            </w:r>
          </w:p>
        </w:tc>
        <w:tc>
          <w:tcPr>
            <w:tcW w:w="0" w:type="auto"/>
            <w:vMerge/>
            <w:tcBorders>
              <w:top w:val="nil"/>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kết quả hoạt động tổng hợp</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886"/>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B03/BCTC-TH</w:t>
            </w:r>
          </w:p>
        </w:tc>
        <w:tc>
          <w:tcPr>
            <w:tcW w:w="0" w:type="auto"/>
            <w:vMerge/>
            <w:tcBorders>
              <w:top w:val="nil"/>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lưu chuyển tiền tệ tổng hợp (theo phương pháp gián tiếp)</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757"/>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lastRenderedPageBreak/>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B04/BCTC-TH</w:t>
            </w:r>
          </w:p>
        </w:tc>
        <w:tc>
          <w:tcPr>
            <w:tcW w:w="0" w:type="auto"/>
            <w:vMerge/>
            <w:tcBorders>
              <w:top w:val="nil"/>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Thuyết minh báo cáo tài chính tổng hợp</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312"/>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4</w:t>
            </w:r>
          </w:p>
        </w:tc>
        <w:tc>
          <w:tcPr>
            <w:tcW w:w="7350" w:type="dxa"/>
            <w:gridSpan w:val="5"/>
            <w:tcBorders>
              <w:top w:val="single" w:sz="4" w:space="0" w:color="auto"/>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Bảng tổng hợp số liệu</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624"/>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S01/BTH</w:t>
            </w:r>
          </w:p>
        </w:tc>
        <w:tc>
          <w:tcPr>
            <w:tcW w:w="922" w:type="dxa"/>
            <w:vMerge w:val="restart"/>
            <w:tcBorders>
              <w:top w:val="nil"/>
              <w:left w:val="single" w:sz="4" w:space="0" w:color="auto"/>
              <w:bottom w:val="nil"/>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TT 99</w:t>
            </w: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Bảng tổng hợp bổ sung thông tin tài chính</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624"/>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S02/BTH</w:t>
            </w:r>
          </w:p>
        </w:tc>
        <w:tc>
          <w:tcPr>
            <w:tcW w:w="0" w:type="auto"/>
            <w:vMerge/>
            <w:tcBorders>
              <w:top w:val="nil"/>
              <w:left w:val="single" w:sz="4" w:space="0" w:color="auto"/>
              <w:bottom w:val="nil"/>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Bảng tổng hợp các chỉ tiêu báo cáo tài chính</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517"/>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5</w:t>
            </w:r>
          </w:p>
        </w:tc>
        <w:tc>
          <w:tcPr>
            <w:tcW w:w="7350" w:type="dxa"/>
            <w:gridSpan w:val="5"/>
            <w:tcBorders>
              <w:top w:val="single" w:sz="4" w:space="0" w:color="auto"/>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Mẫu báo cáo bổ sung thông tin tài chính</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312"/>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B01/BSTT</w:t>
            </w:r>
          </w:p>
        </w:tc>
        <w:tc>
          <w:tcPr>
            <w:tcW w:w="92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TT 99</w:t>
            </w: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bổ sung thông tin tài chính</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591"/>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II</w:t>
            </w:r>
          </w:p>
        </w:tc>
        <w:tc>
          <w:tcPr>
            <w:tcW w:w="5012" w:type="dxa"/>
            <w:gridSpan w:val="3"/>
            <w:tcBorders>
              <w:top w:val="single" w:sz="4" w:space="0" w:color="auto"/>
              <w:left w:val="nil"/>
              <w:bottom w:val="single" w:sz="4" w:space="0" w:color="auto"/>
              <w:right w:val="nil"/>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BÁO CÁO QUYẾT TOÁN</w:t>
            </w:r>
          </w:p>
        </w:tc>
        <w:tc>
          <w:tcPr>
            <w:tcW w:w="1176"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 </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 </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b/>
                <w:bCs/>
                <w:color w:val="000000"/>
              </w:rPr>
            </w:pPr>
            <w:r w:rsidRPr="000C6141">
              <w:rPr>
                <w:b/>
                <w:bCs/>
                <w:color w:val="000000"/>
              </w:rPr>
              <w:t> </w:t>
            </w:r>
          </w:p>
        </w:tc>
      </w:tr>
      <w:tr w:rsidR="00235A82" w:rsidRPr="000C6141" w:rsidTr="009C5940">
        <w:trPr>
          <w:cantSplit/>
          <w:trHeight w:val="565"/>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1</w:t>
            </w:r>
          </w:p>
        </w:tc>
        <w:tc>
          <w:tcPr>
            <w:tcW w:w="7350" w:type="dxa"/>
            <w:gridSpan w:val="5"/>
            <w:tcBorders>
              <w:top w:val="single" w:sz="4" w:space="0" w:color="auto"/>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Báo cáo quyết toán ngân sách</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624"/>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B01/BCQT</w:t>
            </w:r>
          </w:p>
        </w:tc>
        <w:tc>
          <w:tcPr>
            <w:tcW w:w="922" w:type="dxa"/>
            <w:vMerge w:val="restart"/>
            <w:tcBorders>
              <w:top w:val="nil"/>
              <w:left w:val="single" w:sz="4" w:space="0" w:color="auto"/>
              <w:bottom w:val="single" w:sz="4" w:space="0" w:color="000000"/>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TT 107</w:t>
            </w: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quyết toán kinh phí hoạt động</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624"/>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F01-01/BCQT</w:t>
            </w:r>
          </w:p>
        </w:tc>
        <w:tc>
          <w:tcPr>
            <w:tcW w:w="0" w:type="auto"/>
            <w:vMerge/>
            <w:tcBorders>
              <w:top w:val="nil"/>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chi tiết chi từ nguồn NSNN và nguồn phí được khấu trừ, để lại</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624"/>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F01-02/BCQT</w:t>
            </w:r>
          </w:p>
        </w:tc>
        <w:tc>
          <w:tcPr>
            <w:tcW w:w="0" w:type="auto"/>
            <w:vMerge/>
            <w:tcBorders>
              <w:top w:val="nil"/>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chi tiết kinh phí chương trình, dự án</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624"/>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B02/BCQT</w:t>
            </w:r>
          </w:p>
        </w:tc>
        <w:tc>
          <w:tcPr>
            <w:tcW w:w="0" w:type="auto"/>
            <w:vMerge/>
            <w:tcBorders>
              <w:top w:val="nil"/>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thực hiện xử lý kiến nghị của kiểm toán, thanh tra, tài chính</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312"/>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B03/BCQT</w:t>
            </w:r>
          </w:p>
        </w:tc>
        <w:tc>
          <w:tcPr>
            <w:tcW w:w="0" w:type="auto"/>
            <w:vMerge/>
            <w:tcBorders>
              <w:top w:val="nil"/>
              <w:left w:val="single" w:sz="4" w:space="0" w:color="auto"/>
              <w:bottom w:val="single" w:sz="4" w:space="0" w:color="000000"/>
              <w:right w:val="single" w:sz="4" w:space="0" w:color="auto"/>
            </w:tcBorders>
            <w:vAlign w:val="center"/>
            <w:hideMark/>
          </w:tcPr>
          <w:p w:rsidR="00235A82" w:rsidRPr="000C6141" w:rsidRDefault="00235A82" w:rsidP="009C5940">
            <w:pPr>
              <w:spacing w:before="60" w:after="60"/>
              <w:jc w:val="both"/>
              <w:rPr>
                <w:color w:val="000000"/>
              </w:rPr>
            </w:pP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Thuyết minh báo cáo quyết toán</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509"/>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2</w:t>
            </w:r>
          </w:p>
        </w:tc>
        <w:tc>
          <w:tcPr>
            <w:tcW w:w="7350" w:type="dxa"/>
            <w:gridSpan w:val="5"/>
            <w:tcBorders>
              <w:top w:val="single" w:sz="4" w:space="0" w:color="auto"/>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Báo cáo quyết toán quỹ tài chính nhà nước ngoài ngân sách (nếu có)</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624"/>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Mẫu biểu số 01</w:t>
            </w:r>
          </w:p>
        </w:tc>
        <w:tc>
          <w:tcPr>
            <w:tcW w:w="92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TT 137</w:t>
            </w: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quyết toán quỹ tài chính nhà nước ngoài ngân sách</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460"/>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3</w:t>
            </w:r>
          </w:p>
        </w:tc>
        <w:tc>
          <w:tcPr>
            <w:tcW w:w="8913" w:type="dxa"/>
            <w:gridSpan w:val="6"/>
            <w:tcBorders>
              <w:top w:val="single" w:sz="4" w:space="0" w:color="auto"/>
              <w:left w:val="nil"/>
              <w:bottom w:val="single" w:sz="4" w:space="0" w:color="auto"/>
              <w:right w:val="single" w:sz="4" w:space="0" w:color="auto"/>
            </w:tcBorders>
            <w:shd w:val="clear" w:color="auto" w:fill="FFFFFF"/>
            <w:vAlign w:val="center"/>
            <w:hideMark/>
          </w:tcPr>
          <w:p w:rsidR="00235A82" w:rsidRPr="002B21DE" w:rsidRDefault="00235A82" w:rsidP="009C5940">
            <w:pPr>
              <w:spacing w:before="60" w:after="60"/>
              <w:jc w:val="both"/>
              <w:rPr>
                <w:b/>
                <w:bCs/>
                <w:color w:val="000000"/>
              </w:rPr>
            </w:pPr>
            <w:r w:rsidRPr="000C6141">
              <w:rPr>
                <w:b/>
                <w:bCs/>
                <w:color w:val="000000"/>
              </w:rPr>
              <w:t xml:space="preserve">Báo cáo tổng hợp số thu dịch vụ của </w:t>
            </w:r>
            <w:r>
              <w:rPr>
                <w:b/>
                <w:bCs/>
                <w:color w:val="000000"/>
              </w:rPr>
              <w:t>ĐVSN</w:t>
            </w:r>
            <w:r w:rsidRPr="000C6141">
              <w:rPr>
                <w:b/>
                <w:bCs/>
                <w:color w:val="000000"/>
              </w:rPr>
              <w:t xml:space="preserve"> công (không bao gồm nguồn NSNN) </w:t>
            </w:r>
          </w:p>
        </w:tc>
      </w:tr>
      <w:tr w:rsidR="00235A82" w:rsidRPr="000C6141" w:rsidTr="009C5940">
        <w:trPr>
          <w:cantSplit/>
          <w:trHeight w:val="936"/>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Mẫu biểu số 02</w:t>
            </w:r>
          </w:p>
        </w:tc>
        <w:tc>
          <w:tcPr>
            <w:tcW w:w="92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TT 137</w:t>
            </w: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Báo cáo tổng hợp số thu dịch vụ của đơn vị sự nghiệp công (không bao gồm nguồn NSNN) </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455"/>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4</w:t>
            </w:r>
          </w:p>
        </w:tc>
        <w:tc>
          <w:tcPr>
            <w:tcW w:w="8913" w:type="dxa"/>
            <w:gridSpan w:val="6"/>
            <w:tcBorders>
              <w:top w:val="single" w:sz="4" w:space="0" w:color="auto"/>
              <w:left w:val="nil"/>
              <w:bottom w:val="single" w:sz="4" w:space="0" w:color="auto"/>
              <w:right w:val="single" w:sz="4" w:space="0" w:color="auto"/>
            </w:tcBorders>
            <w:shd w:val="clear" w:color="auto" w:fill="FFFFFF"/>
            <w:vAlign w:val="center"/>
            <w:hideMark/>
          </w:tcPr>
          <w:p w:rsidR="00235A82" w:rsidRPr="002B21DE" w:rsidRDefault="00235A82" w:rsidP="009C5940">
            <w:pPr>
              <w:spacing w:before="60" w:after="60"/>
              <w:jc w:val="both"/>
              <w:rPr>
                <w:b/>
                <w:bCs/>
                <w:color w:val="000000"/>
              </w:rPr>
            </w:pPr>
            <w:r w:rsidRPr="000C6141">
              <w:rPr>
                <w:b/>
                <w:bCs/>
                <w:color w:val="000000"/>
              </w:rPr>
              <w:t>Các Thông báo xét duyệt quyết toán năm đối với đơn vị dự toán cấp dưới trực thuộc</w:t>
            </w:r>
          </w:p>
        </w:tc>
      </w:tr>
      <w:tr w:rsidR="00235A82" w:rsidRPr="000C6141" w:rsidTr="009C5940">
        <w:trPr>
          <w:cantSplit/>
          <w:trHeight w:val="936"/>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Phụ lục 02, các Mẫu biểu 2a, 2b và 2c</w:t>
            </w:r>
          </w:p>
        </w:tc>
        <w:tc>
          <w:tcPr>
            <w:tcW w:w="92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TT 137</w:t>
            </w: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Thông báo xét duyệt quyết toán năm </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477"/>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5</w:t>
            </w:r>
          </w:p>
        </w:tc>
        <w:tc>
          <w:tcPr>
            <w:tcW w:w="7350" w:type="dxa"/>
            <w:gridSpan w:val="5"/>
            <w:tcBorders>
              <w:top w:val="single" w:sz="4" w:space="0" w:color="auto"/>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b/>
                <w:bCs/>
                <w:color w:val="000000"/>
              </w:rPr>
            </w:pPr>
            <w:r w:rsidRPr="000C6141">
              <w:rPr>
                <w:b/>
                <w:bCs/>
                <w:color w:val="000000"/>
              </w:rPr>
              <w:t>Báo cáo thuyết minh quyết toán năm so với dự toán</w:t>
            </w:r>
          </w:p>
        </w:tc>
        <w:tc>
          <w:tcPr>
            <w:tcW w:w="1563" w:type="dxa"/>
            <w:tcBorders>
              <w:top w:val="nil"/>
              <w:left w:val="nil"/>
              <w:bottom w:val="single" w:sz="4" w:space="0" w:color="auto"/>
              <w:right w:val="single" w:sz="4" w:space="0" w:color="auto"/>
            </w:tcBorders>
            <w:noWrap/>
            <w:vAlign w:val="center"/>
            <w:hideMark/>
          </w:tcPr>
          <w:p w:rsidR="00235A82" w:rsidRPr="000C6141" w:rsidRDefault="00235A82" w:rsidP="009C5940">
            <w:pPr>
              <w:spacing w:before="60" w:after="60"/>
              <w:jc w:val="both"/>
              <w:rPr>
                <w:color w:val="000000"/>
              </w:rPr>
            </w:pPr>
            <w:r w:rsidRPr="000C6141">
              <w:rPr>
                <w:color w:val="000000"/>
              </w:rPr>
              <w:t> </w:t>
            </w:r>
          </w:p>
        </w:tc>
      </w:tr>
      <w:tr w:rsidR="00235A82" w:rsidRPr="000C6141" w:rsidTr="009C5940">
        <w:trPr>
          <w:cantSplit/>
          <w:trHeight w:val="822"/>
        </w:trPr>
        <w:tc>
          <w:tcPr>
            <w:tcW w:w="670" w:type="dxa"/>
            <w:tcBorders>
              <w:top w:val="nil"/>
              <w:left w:val="single" w:sz="4" w:space="0" w:color="auto"/>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 xml:space="preserve"> -</w:t>
            </w:r>
          </w:p>
        </w:tc>
        <w:tc>
          <w:tcPr>
            <w:tcW w:w="1531"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Mẫu biểu số 02</w:t>
            </w:r>
          </w:p>
        </w:tc>
        <w:tc>
          <w:tcPr>
            <w:tcW w:w="92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TT 137</w:t>
            </w:r>
          </w:p>
        </w:tc>
        <w:tc>
          <w:tcPr>
            <w:tcW w:w="2559"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both"/>
              <w:rPr>
                <w:color w:val="000000"/>
              </w:rPr>
            </w:pPr>
            <w:r w:rsidRPr="000C6141">
              <w:rPr>
                <w:color w:val="000000"/>
              </w:rPr>
              <w:t>Báo cáo thuyết minh quyết toán năm so với dự toán</w:t>
            </w:r>
          </w:p>
        </w:tc>
        <w:tc>
          <w:tcPr>
            <w:tcW w:w="1176"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162" w:type="dxa"/>
            <w:tcBorders>
              <w:top w:val="nil"/>
              <w:left w:val="nil"/>
              <w:bottom w:val="single" w:sz="4" w:space="0" w:color="auto"/>
              <w:right w:val="single" w:sz="4" w:space="0" w:color="auto"/>
            </w:tcBorders>
            <w:shd w:val="clear" w:color="auto" w:fill="FFFFFF"/>
            <w:vAlign w:val="center"/>
            <w:hideMark/>
          </w:tcPr>
          <w:p w:rsidR="00235A82" w:rsidRPr="000C6141" w:rsidRDefault="00235A82" w:rsidP="009C5940">
            <w:pPr>
              <w:spacing w:before="60" w:after="60"/>
              <w:jc w:val="center"/>
              <w:rPr>
                <w:color w:val="000000"/>
              </w:rPr>
            </w:pPr>
            <w:r w:rsidRPr="000C6141">
              <w:rPr>
                <w:color w:val="000000"/>
              </w:rPr>
              <w:t>x</w:t>
            </w:r>
          </w:p>
        </w:tc>
        <w:tc>
          <w:tcPr>
            <w:tcW w:w="1563" w:type="dxa"/>
            <w:tcBorders>
              <w:top w:val="nil"/>
              <w:left w:val="nil"/>
              <w:bottom w:val="single" w:sz="4" w:space="0" w:color="auto"/>
              <w:right w:val="single" w:sz="4" w:space="0" w:color="auto"/>
            </w:tcBorders>
            <w:vAlign w:val="center"/>
            <w:hideMark/>
          </w:tcPr>
          <w:p w:rsidR="00235A82" w:rsidRPr="000C6141" w:rsidRDefault="00235A82" w:rsidP="009C5940">
            <w:pPr>
              <w:spacing w:before="60" w:after="60"/>
              <w:jc w:val="both"/>
              <w:rPr>
                <w:color w:val="000000"/>
              </w:rPr>
            </w:pPr>
            <w:r w:rsidRPr="000C6141">
              <w:rPr>
                <w:color w:val="000000"/>
              </w:rPr>
              <w:t xml:space="preserve">Áp dụng đối với các đơn vị </w:t>
            </w:r>
            <w:r>
              <w:rPr>
                <w:color w:val="000000"/>
              </w:rPr>
              <w:t>DT</w:t>
            </w:r>
            <w:r w:rsidRPr="000C6141">
              <w:rPr>
                <w:color w:val="000000"/>
              </w:rPr>
              <w:t xml:space="preserve"> cấp I </w:t>
            </w:r>
          </w:p>
        </w:tc>
      </w:tr>
      <w:tr w:rsidR="00235A82" w:rsidRPr="000C6141" w:rsidTr="009C5940">
        <w:trPr>
          <w:trHeight w:val="312"/>
        </w:trPr>
        <w:tc>
          <w:tcPr>
            <w:tcW w:w="2201" w:type="dxa"/>
            <w:gridSpan w:val="2"/>
            <w:noWrap/>
            <w:vAlign w:val="center"/>
          </w:tcPr>
          <w:p w:rsidR="00235A82" w:rsidRPr="000C6141" w:rsidRDefault="00235A82" w:rsidP="009C5940">
            <w:pPr>
              <w:spacing w:before="120"/>
              <w:rPr>
                <w:b/>
                <w:bCs/>
                <w:color w:val="000000"/>
                <w:sz w:val="28"/>
              </w:rPr>
            </w:pPr>
            <w:r w:rsidRPr="000C6141">
              <w:rPr>
                <w:b/>
                <w:bCs/>
                <w:color w:val="000000"/>
              </w:rPr>
              <w:t>Ghi chú:</w:t>
            </w:r>
          </w:p>
        </w:tc>
        <w:tc>
          <w:tcPr>
            <w:tcW w:w="922" w:type="dxa"/>
            <w:vAlign w:val="center"/>
            <w:hideMark/>
          </w:tcPr>
          <w:p w:rsidR="00235A82" w:rsidRPr="000C6141" w:rsidRDefault="00235A82" w:rsidP="009C5940">
            <w:pPr>
              <w:rPr>
                <w:color w:val="000000"/>
                <w:sz w:val="20"/>
                <w:lang w:val="vi-VN" w:eastAsia="vi-VN"/>
              </w:rPr>
            </w:pPr>
          </w:p>
        </w:tc>
        <w:tc>
          <w:tcPr>
            <w:tcW w:w="2559" w:type="dxa"/>
            <w:vAlign w:val="center"/>
            <w:hideMark/>
          </w:tcPr>
          <w:p w:rsidR="00235A82" w:rsidRPr="000C6141" w:rsidRDefault="00235A82" w:rsidP="009C5940">
            <w:pPr>
              <w:rPr>
                <w:color w:val="000000"/>
                <w:sz w:val="20"/>
                <w:lang w:val="vi-VN" w:eastAsia="vi-VN"/>
              </w:rPr>
            </w:pPr>
          </w:p>
        </w:tc>
        <w:tc>
          <w:tcPr>
            <w:tcW w:w="1176" w:type="dxa"/>
            <w:vAlign w:val="center"/>
            <w:hideMark/>
          </w:tcPr>
          <w:p w:rsidR="00235A82" w:rsidRPr="000C6141" w:rsidRDefault="00235A82" w:rsidP="009C5940">
            <w:pPr>
              <w:rPr>
                <w:color w:val="000000"/>
                <w:sz w:val="20"/>
                <w:lang w:val="vi-VN" w:eastAsia="vi-VN"/>
              </w:rPr>
            </w:pPr>
          </w:p>
        </w:tc>
        <w:tc>
          <w:tcPr>
            <w:tcW w:w="1162" w:type="dxa"/>
            <w:vAlign w:val="center"/>
            <w:hideMark/>
          </w:tcPr>
          <w:p w:rsidR="00235A82" w:rsidRPr="000C6141" w:rsidRDefault="00235A82" w:rsidP="009C5940">
            <w:pPr>
              <w:rPr>
                <w:color w:val="000000"/>
                <w:sz w:val="20"/>
                <w:lang w:val="vi-VN" w:eastAsia="vi-VN"/>
              </w:rPr>
            </w:pPr>
          </w:p>
        </w:tc>
        <w:tc>
          <w:tcPr>
            <w:tcW w:w="1563" w:type="dxa"/>
            <w:noWrap/>
            <w:vAlign w:val="center"/>
            <w:hideMark/>
          </w:tcPr>
          <w:p w:rsidR="00235A82" w:rsidRPr="000C6141" w:rsidRDefault="00235A82" w:rsidP="009C5940">
            <w:pPr>
              <w:rPr>
                <w:color w:val="000000"/>
                <w:sz w:val="20"/>
                <w:lang w:val="vi-VN" w:eastAsia="vi-VN"/>
              </w:rPr>
            </w:pPr>
          </w:p>
        </w:tc>
      </w:tr>
      <w:tr w:rsidR="00235A82" w:rsidRPr="000C6141" w:rsidTr="009C5940">
        <w:trPr>
          <w:trHeight w:val="572"/>
        </w:trPr>
        <w:tc>
          <w:tcPr>
            <w:tcW w:w="9583" w:type="dxa"/>
            <w:gridSpan w:val="7"/>
            <w:vAlign w:val="center"/>
            <w:hideMark/>
          </w:tcPr>
          <w:p w:rsidR="00235A82" w:rsidRPr="002B21DE" w:rsidRDefault="00235A82" w:rsidP="009C5940">
            <w:pPr>
              <w:spacing w:before="80"/>
              <w:jc w:val="both"/>
              <w:rPr>
                <w:color w:val="000000"/>
                <w:sz w:val="32"/>
                <w:lang w:val="vi-VN"/>
              </w:rPr>
            </w:pPr>
            <w:r w:rsidRPr="000C6141">
              <w:rPr>
                <w:color w:val="000000"/>
                <w:lang w:val="vi-VN"/>
              </w:rPr>
              <w:t xml:space="preserve"> </w:t>
            </w:r>
            <w:r w:rsidRPr="002B21DE">
              <w:rPr>
                <w:color w:val="000000"/>
                <w:sz w:val="28"/>
                <w:lang w:val="vi-VN"/>
              </w:rPr>
              <w:t>(*) Tại điểm b khoản 5 Điều 7 Thông tư số 107/2017/TT-BTC có quy định các đơn vị hành chính, sự nghiệp lập báo cáo tài chính theo biểu mẫu đầy đủ, trừ các đơn vị kế toán dưới đây có thể lựa chọn để lập báo cáo tài chính đơn giản:</w:t>
            </w:r>
          </w:p>
          <w:p w:rsidR="00235A82" w:rsidRPr="002B21DE" w:rsidRDefault="00235A82" w:rsidP="009C5940">
            <w:pPr>
              <w:spacing w:before="80"/>
              <w:jc w:val="both"/>
              <w:rPr>
                <w:color w:val="000000"/>
                <w:sz w:val="28"/>
                <w:lang w:val="vi-VN"/>
              </w:rPr>
            </w:pPr>
            <w:r w:rsidRPr="002B21DE">
              <w:rPr>
                <w:color w:val="000000"/>
                <w:sz w:val="28"/>
                <w:lang w:val="vi-VN"/>
              </w:rPr>
              <w:t>(1) Đối với cơ quan nhà nước thỏa mãn các điều kiện:</w:t>
            </w:r>
          </w:p>
          <w:p w:rsidR="00235A82" w:rsidRPr="002B21DE" w:rsidRDefault="00235A82" w:rsidP="009C5940">
            <w:pPr>
              <w:spacing w:before="80"/>
              <w:jc w:val="both"/>
              <w:rPr>
                <w:color w:val="000000"/>
                <w:sz w:val="28"/>
                <w:lang w:val="vi-VN"/>
              </w:rPr>
            </w:pPr>
            <w:r w:rsidRPr="002B21DE">
              <w:rPr>
                <w:color w:val="000000"/>
                <w:sz w:val="28"/>
                <w:lang w:val="vi-VN"/>
              </w:rPr>
              <w:t>- Phòng, cơ quan tương đương phòng thuộc Ủy ban nhân dân cấp huyện, chỉ được giao dự toán chi ngân sách nhà nước chi thường xuyên;</w:t>
            </w:r>
          </w:p>
          <w:p w:rsidR="00235A82" w:rsidRPr="002B21DE" w:rsidRDefault="00235A82" w:rsidP="009C5940">
            <w:pPr>
              <w:spacing w:before="80"/>
              <w:jc w:val="both"/>
              <w:rPr>
                <w:color w:val="000000"/>
                <w:sz w:val="28"/>
                <w:lang w:val="vi-VN"/>
              </w:rPr>
            </w:pPr>
            <w:r w:rsidRPr="002B21DE">
              <w:rPr>
                <w:color w:val="000000"/>
                <w:sz w:val="28"/>
                <w:lang w:val="vi-VN"/>
              </w:rPr>
              <w:t>- Không được giao dự toán chi ngân sách nhà nước chi đầu tư phát triển, chi từ vốn ngoài nước; không được giao dự toán thu, chi phí hoặc lệ phí;</w:t>
            </w:r>
          </w:p>
          <w:p w:rsidR="00235A82" w:rsidRPr="002B21DE" w:rsidRDefault="00235A82" w:rsidP="009C5940">
            <w:pPr>
              <w:spacing w:before="80"/>
              <w:jc w:val="both"/>
              <w:rPr>
                <w:color w:val="000000"/>
                <w:sz w:val="28"/>
                <w:lang w:val="vi-VN"/>
              </w:rPr>
            </w:pPr>
            <w:r w:rsidRPr="002B21DE">
              <w:rPr>
                <w:color w:val="000000"/>
                <w:sz w:val="28"/>
                <w:lang w:val="vi-VN"/>
              </w:rPr>
              <w:t>- Không có cơ quan, đơn vị trực thuộc.</w:t>
            </w:r>
          </w:p>
          <w:p w:rsidR="00235A82" w:rsidRPr="002B21DE" w:rsidRDefault="00235A82" w:rsidP="009C5940">
            <w:pPr>
              <w:spacing w:before="80"/>
              <w:jc w:val="both"/>
              <w:rPr>
                <w:color w:val="000000"/>
                <w:sz w:val="28"/>
                <w:lang w:val="vi-VN"/>
              </w:rPr>
            </w:pPr>
            <w:r w:rsidRPr="002B21DE">
              <w:rPr>
                <w:color w:val="000000"/>
                <w:sz w:val="28"/>
                <w:lang w:val="vi-VN"/>
              </w:rPr>
              <w:t>(2) Đối với đơn vị sự nghiệp công lập thỏa mãn các điều kiện:</w:t>
            </w:r>
          </w:p>
          <w:p w:rsidR="00235A82" w:rsidRPr="002B21DE" w:rsidRDefault="00235A82" w:rsidP="009C5940">
            <w:pPr>
              <w:spacing w:before="80"/>
              <w:jc w:val="both"/>
              <w:rPr>
                <w:color w:val="000000"/>
                <w:sz w:val="28"/>
                <w:lang w:val="vi-VN"/>
              </w:rPr>
            </w:pPr>
            <w:r w:rsidRPr="002B21DE">
              <w:rPr>
                <w:color w:val="000000"/>
                <w:sz w:val="28"/>
                <w:lang w:val="vi-VN"/>
              </w:rPr>
              <w:t>- Đơn vị sự nghiệp công lập được cấp có thẩm quyền phân loại là đơn vị sự nghiệp do ngân sách nhà nước đảm bảo toàn bộ chi thường xuyên (theo chức năng, nhiệm vụ được cấp có thẩm quyền giao, không có nguồn thu, hoặc nguồn thu thấp);</w:t>
            </w:r>
          </w:p>
          <w:p w:rsidR="00235A82" w:rsidRPr="002B21DE" w:rsidRDefault="00235A82" w:rsidP="009C5940">
            <w:pPr>
              <w:spacing w:before="80"/>
              <w:jc w:val="both"/>
              <w:rPr>
                <w:color w:val="000000"/>
                <w:sz w:val="28"/>
                <w:lang w:val="vi-VN"/>
              </w:rPr>
            </w:pPr>
            <w:r w:rsidRPr="002B21DE">
              <w:rPr>
                <w:color w:val="000000"/>
                <w:sz w:val="28"/>
                <w:lang w:val="vi-VN"/>
              </w:rPr>
              <w:t>- Không được bố trí dự toán chi ngân sách nhà nước chi đầu tư phát triển, chi từ vốn ngoài nước; không được giao dự toán thu, chi phí hoặc lệ phí;</w:t>
            </w:r>
          </w:p>
          <w:p w:rsidR="00235A82" w:rsidRPr="00CF013A" w:rsidRDefault="00235A82" w:rsidP="009C5940">
            <w:pPr>
              <w:spacing w:before="120"/>
              <w:jc w:val="both"/>
              <w:rPr>
                <w:color w:val="000000"/>
                <w:sz w:val="22"/>
              </w:rPr>
            </w:pPr>
            <w:r w:rsidRPr="002B21DE">
              <w:rPr>
                <w:color w:val="000000"/>
                <w:sz w:val="28"/>
                <w:lang w:val="vi-VN"/>
              </w:rPr>
              <w:t>- Không có đơn vị trực thuộc.</w:t>
            </w:r>
          </w:p>
        </w:tc>
      </w:tr>
    </w:tbl>
    <w:p w:rsidR="004C5591" w:rsidRDefault="004C5591"/>
    <w:sectPr w:rsidR="004C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82"/>
    <w:rsid w:val="00235A82"/>
    <w:rsid w:val="004C5591"/>
    <w:rsid w:val="00B045FC"/>
    <w:rsid w:val="00D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12599-DEAA-4ABF-8FE6-03D2F5D0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A8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2020-10-01T09:57:00Z</dcterms:created>
  <dcterms:modified xsi:type="dcterms:W3CDTF">2020-10-01T10:00:00Z</dcterms:modified>
</cp:coreProperties>
</file>