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81" w:rsidRPr="004F45DB" w:rsidRDefault="001D4381" w:rsidP="001D4381">
      <w:pPr>
        <w:pStyle w:val="NormalWeb"/>
        <w:spacing w:after="120" w:afterAutospacing="0" w:line="320" w:lineRule="exact"/>
        <w:ind w:firstLine="562"/>
        <w:jc w:val="both"/>
        <w:rPr>
          <w:b/>
          <w:color w:val="000000"/>
          <w:sz w:val="28"/>
          <w:szCs w:val="28"/>
        </w:rPr>
      </w:pPr>
      <w:r w:rsidRPr="004F45DB">
        <w:rPr>
          <w:b/>
          <w:color w:val="000000"/>
          <w:sz w:val="28"/>
          <w:szCs w:val="28"/>
        </w:rPr>
        <w:t>CÁC GIẤY TỜ QUY ĐỊNH TẠI CÁC ĐIỀU 31,32,33 VÀ 34 CỦA NGHỊ ĐỊNH SỐ 43/2014/NĐ-CP</w:t>
      </w:r>
    </w:p>
    <w:p w:rsidR="001D4381" w:rsidRPr="004F45DB" w:rsidRDefault="001D4381" w:rsidP="001D4381">
      <w:pPr>
        <w:pStyle w:val="NormalWeb"/>
        <w:spacing w:after="120" w:afterAutospacing="0" w:line="320" w:lineRule="exact"/>
        <w:ind w:firstLine="562"/>
        <w:jc w:val="both"/>
        <w:rPr>
          <w:b/>
          <w:color w:val="000000"/>
          <w:sz w:val="28"/>
          <w:szCs w:val="28"/>
        </w:rPr>
      </w:pPr>
      <w:r w:rsidRPr="004F45DB">
        <w:rPr>
          <w:b/>
          <w:color w:val="000000"/>
          <w:sz w:val="28"/>
          <w:szCs w:val="28"/>
        </w:rPr>
        <w:t>Điều 31. Chứng nhận quyền sở hữu nhà ở</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Chủ sở hữu nhà ở thuộc đối tượng được sở hữu nhà ở theo quy định của pháp luật về nhà ở và có giấy tờ chứng minh việc tạo lập hợp pháp về nhà ở thì được chứng nhận quyền sở hữu theo quy định sau đây:</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1. Hộ gia đình, cá nhân trong nước phải có một trong các loại giấy tờ sau:</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a) Giấy phép xây dựng nhà ở đối với trường hợp phải xin giấy phép xây dựng theo quy định của pháp luật về xây dựng.</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b) Hợp đồng mua bán nhà ở thuộc sở hữu nhà nước theo quy định tại Nghị định số 61/CP ngày 05 tháng 7 năm 1994 của Chính phủ về mua bán và kinh doanh nhà ở hoặc giấy tờ về thanh lý, hóa giá nhà ở thuộc sở hữu nhà nước từ trước ngày 05 tháng 7 năm 1994;</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c) Giấy tờ về giao hoặc tặng nhà tình nghĩa, nhà tình thương, nhà đại đoàn kết;</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d)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khóa XI về nhà đất do Nhà nước đã quản lý, bố trí sử dụng trong quá trình thực hiện các chính sách về quản lý nhà đất và chính sách cải tạo xã hội chủ 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đ) Giấy tờ về mua bán hoặc nhận tặng cho hoặc đổi hoặc nhận thừa kế nhà ở đã có chứng nhận của công chứng hoặc chứng thực của Ủy ban nhân dân cấp có thẩm quyền theo quy định của pháp luật.</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Trường hợp nhà ở do mua, nhận tặng cho, đổi, nhận thừa kế kể từ ngày 01 tháng 7 năm 2006 thì phải có văn bản về giao dịch đó theo quy định của pháp luật về nhà ở.</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Trường hợp nhà ở do mua của doanh nghiệp đầu tư xây dựng để bán thì phải có hợp đồng mua bán nhà ở do hai bên ký kết;</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e) Bản án hoặc quyết định của Tòa án nhân dân hoặc giấy tờ của cơ quan nhà nước có thẩm quyền giải quyết được quyền sở hữu nhà ở đã có hiệu lực pháp luật;</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lastRenderedPageBreak/>
        <w:t>g) Trường hợp người đề nghị chứng nhận quyền sở hữu nhà ở có một trong những giấy tờ quy định tại các Điểm a, b, c, d, đ và e Khoản này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Trường hợp người đề nghị chứng nhận quyền sở hữu nhà ở có một trong những giấy tờ quy định tại các Điểm a, b, c, d, đ và e Khoản này mà hiện trạng nhà ở không phù hợp với giấy tờ đó thì phần nhà ở không phù hợp với giấy tờ phải được Ủy ban nhân dân cấp xã xác nhận như quy định tại Điểm h Khoản này;</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h) Trường hợp cá nhân trong nước không có một trong những giấy tờ quy định tại các Điểm a, b, c, d, đ và e Khoản này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2. Người Việt Nam định cư ở nước ngoài sở hữu nhà ở tại Việt Nam phải có các giấy tờ sau:</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a) Giấy tờ về mua bán hoặc nhận tặng cho hoặc nhận thừa kế nhà ở hoặc được sở hữu nhà ở thông qua hình thức khác theo quy định của pháp luật về nhà ở;</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b) Một trong các giấy tờ của bên chuyển quyền quy định tại Khoản 1 và Khoản 3 Điều này.</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3. Tổ chức trong nước, người Việt Nam định cư ở nước ngoài thực hiện dự án đầu tư, tổ chức nước ngoài, cá nhân nước ngoài phải có giấy tờ theo quy định sau:</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a) Trường hợp đầu tư xây dựng nhà ở để kinh doanh thì phải có một trong những giấy tờ về dự án phát triển nhà ở để kinh doanh (quyết định phê duyệt dự án hoặc quyết định đầu tư hoặc giấy phép đầu tư hoặc giấy chứng nhận đầu tư);</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b) Trường hợp mua, nhận tặng cho, nhận thừa kế nhà ở hoặc được sở hữu nhà ở thông qua hình thức khác theo quy định của pháp luật thì phải có giấy tờ về giao dịch đó theo quy định của pháp luật về nhà ở;</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lastRenderedPageBreak/>
        <w:t>c) Trường hợp nhà ở đã xây dựng không phù hợp với giấy tờ quy định tại Điểm a và Điểm b Khoản này thì phải có ý kiến bằng văn bản của cơ quan có thẩm quyền cấp phép xây dựng xác nhận diện tích xây dựng không đúng giấy tờ không ảnh hưởng đến an toàn công trình và nay phù hợp với quy hoạch xây dựng đã được cơ quan có thẩm quyền phê duyệt (nếu có).</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4. Trường hợp chủ sở hữu nhà ở không đồng thời là người sử dụng đất ở thì ngoài giấy tờ chứng minh về quyền sở hữu nhà ở theo quy định tại các Khoản 1, 2 và 3 Điều này, phải có hợp đồng thuê đất hoặc hợp đồng góp vốn hoặc hợp đồng hợp tác kinh doanh hoặc văn bản chấp thuận của người sử dụng đất đồng ý cho xây dựng nhà ở đã được công chứng hoặc chứng thực theo quy định của pháp luật và bản sao giấy tờ về quyền sử dụng đất theo quy định của pháp luật về đất đai.</w:t>
      </w:r>
    </w:p>
    <w:p w:rsidR="001D4381" w:rsidRPr="004F45DB" w:rsidRDefault="001D4381" w:rsidP="001D4381">
      <w:pPr>
        <w:pStyle w:val="NormalWeb"/>
        <w:spacing w:after="120" w:afterAutospacing="0" w:line="320" w:lineRule="exact"/>
        <w:ind w:firstLine="562"/>
        <w:jc w:val="both"/>
        <w:rPr>
          <w:b/>
          <w:color w:val="000000"/>
          <w:sz w:val="28"/>
          <w:szCs w:val="28"/>
        </w:rPr>
      </w:pPr>
      <w:r w:rsidRPr="004F45DB">
        <w:rPr>
          <w:b/>
          <w:color w:val="000000"/>
          <w:sz w:val="28"/>
          <w:szCs w:val="28"/>
        </w:rPr>
        <w:t>Điều 32. Chứng nhận quyền sở hữu công trình xây dựng không phải là nhà ở</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Chủ sở hữu công trình xây dựng không phải là nhà ở được chứng nhận quyền sở hữu theo quy định sau đây:</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1. Hộ gia đình, cá nhân trong nước, cộng đồng dân cư phải có một trong các loại giấy tờ sau:</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a) Giấy phép xây dựng công trình đối với trường hợp phải xin phép xây dựng theo quy định của pháp luật về xây dựng.</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b) Giấy tờ về sở hữu công trình xây dựng do cơ quan có thẩm quyền cấp qua các thời kỳ, trừ trường hợp Nhà nước đã quản lý, bố trí sử dụng;</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c) Giấy tờ mua bán hoặc tặng cho hoặc thừa kế công trình xây dựng theo quy định của pháp luật đã được công chứng hoặc chứng thực theo quy định;</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d) Giấy tờ của Tòa án nhân dân hoặc cơ quan nhà nước có thẩm quyền giải quyết được quyền sở hữu công trình xây dựng đã có hiệu lực pháp luật;</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 xml:space="preserve">đ)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w:t>
      </w:r>
      <w:r w:rsidRPr="004F45DB">
        <w:rPr>
          <w:color w:val="000000"/>
          <w:sz w:val="28"/>
          <w:szCs w:val="28"/>
        </w:rPr>
        <w:lastRenderedPageBreak/>
        <w:t>khác gắn liền với đất về thời điểm mua, nhận tặng cho, đổi, nhận thừa kế công trình xây dựng đó.</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Trường hợp người đề nghị chứng nhận quyền sở hữu công trình có một trong những giấy tờ quy định tại các Điểm a, b, c, và d Khoản này mà hiện trạng công trình không phù hợp với giấy tờ đó thì phần công trình không phù hợp với giấy tờ phải được Ủy ban nhân dân cấp xã xác nhận như quy định tại Điểm e Khoản này;</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e) Trường hợp cá nhân trong nước không có một trong những giấy tờ quy định tại các Điểm a, b, c và d Khoản này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Trường hợp công trình hoàn thành xây dựng từ ngày 01 tháng 7 năm 2004 thì phải có giấy tờ xác nhận của Ủy ban nhân dân cấp xã về công trình xây dựng không thuộc trường hợp phải xin giấy phép xây dựng và đáp ứng điều kiện về quy hoạch như trường hợp xây dựng trước ngày 01 tháng 7 năm 2004; trường hợp công trình thuộc đối tượng phải xin phép xây dựng mà không xin phép thì phải có giấy tờ của cơ quan quản lý về xây dựng cấp huyện chấp thuận cho tồn tại công trình đó.</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2. Tổ chức trong nước, cơ sở tôn giáo, tổ chức nước ngoài, cá nhân nước ngoài, người Việt Nam định cư ở nước ngoài phải có giấy tờ theo quy định sau:</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a) Trường hợp tạo lập công trình xây dựng thông qua đầu tư xây dựng mới theo quy định của pháp luật thì phải có quyết định phê duyệt dự án hoặc quyết định đầu tư dự án hoặc giấy phép đầu tư hoặc giấy chứng nhận đầu tư hoặc giấy phép xây dựng do cơ quan nhà nước có thẩm quyền cấp và giấy tờ về quyền sử dụng đất theo quy định của pháp luật về đất đai hoặc hợp đồng thuê đất với người sử dụng đất có mục đích sử dụng đất phù hợp với mục đích xây dựng công trình;</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b) Trường hợp tạo lập công trình xây dựng bằng một trong các hình thức mua bán, nhận tặng cho, đổi, nhận thừa kế hoặc hình thức khác theo quy định của pháp luật thì phải có văn bản về giao dịch đó theo quy định của pháp luật;</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c) Trường hợp không có một trong những giấy tờ quy định tại Điểm a và Điểm b Khoản này thì phải được cơ quan quản lý về xây dựng cấp tỉnh xác nhận công trình xây dựng tồn tại trước khi có quy hoạch xây dựng mà nay vẫn phù hợp với quy hoạch xây dựng đã được cơ quan nhà nước có thẩm quyền phê duyệt;</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d) Trường hợp công trình đã xây dựng không phù hợp với giấy tờ quy định tại các Điểm a, b và c Khoản này thì phần diện tích công trình không phù hợp với giấy tờ phải được cơ quan có thẩm quyền cấp phép xây dựng kiểm tra, xác nhận diện tích xây dựng không đúng giấy tờ không ảnh hưởng đến an toàn công trình và phù hợp với quy hoạch xây dựng đã được cơ quan có thẩm quyền phê duyệt.</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 xml:space="preserve">3. Trường hợp chủ sở hữu công trình xây dựng không đồng thời là người sử dụng đất thì ngoài giấy tờ chứng minh về quyền sở hữu công trình theo quy định tại </w:t>
      </w:r>
      <w:r w:rsidRPr="004F45DB">
        <w:rPr>
          <w:color w:val="000000"/>
          <w:sz w:val="28"/>
          <w:szCs w:val="28"/>
        </w:rPr>
        <w:lastRenderedPageBreak/>
        <w:t>Khoản 1 và Khoản 2 Điều này, phải có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w:t>
      </w:r>
    </w:p>
    <w:p w:rsidR="001D4381" w:rsidRPr="004F45DB" w:rsidRDefault="001D4381" w:rsidP="001D4381">
      <w:pPr>
        <w:pStyle w:val="NormalWeb"/>
        <w:spacing w:after="120" w:afterAutospacing="0" w:line="320" w:lineRule="exact"/>
        <w:ind w:firstLine="562"/>
        <w:jc w:val="both"/>
        <w:rPr>
          <w:b/>
          <w:color w:val="000000"/>
          <w:sz w:val="28"/>
          <w:szCs w:val="28"/>
        </w:rPr>
      </w:pPr>
      <w:r w:rsidRPr="004F45DB">
        <w:rPr>
          <w:b/>
          <w:color w:val="000000"/>
          <w:sz w:val="28"/>
          <w:szCs w:val="28"/>
        </w:rPr>
        <w:t>Điều 33. Chứng nhận quyền sở hữu rừng sản xuất là rừng trồng</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Chủ sở hữu rừng sản xuất là rừng trồng mà vốn để trồng rừng, tiền đã trả cho việc nhận chuyển nhượng rừng hoặc tiền nộp cho Nhà nước khi được giao rừng có thu tiền không có nguồn gốc từ ngân sách nhà nước và có một trong các giấy tờ sau đây thì được chứng nhận quyền sở hữu:</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1. Giấy chứng nhận hoặc một trong các giấy tờ quy định tại Điều 100 của Luật Đất đai và Điều 18 của Nghị định này mà trong đó xác định Nhà nước giao đất, cho thuê đất, công nhận quyền sử dụng đất để trồng rừng sản xuất;</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2. Giấy tờ về giao rừng sản xuất là rừng trồng;</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3. Hợp đồng hoặc văn bản về việc mua bán hoặc tặng cho hoặc thừa kế đối với rừng sản xuất là rừng trồng đã được công chứng hoặc chứng thực theo quy định của pháp luật;</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4. Bản án, quyết định của Tòa án nhân dân hoặc giấy tờ của cơ quan nhà nước có thẩm quyền giải quyết được quyền sở hữu rừng sản xuất là rừng trồng đã có hiệu lực pháp luật;</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5. Trường hợp hộ gia đình, cá nhân, cộng đồng dân cư không có giấy tờ quy định tại các Khoản 1, 2, 3 và 4 Điều này mà đã trồng rừng sản xuất bằng vốn của mình thì phải được Văn phòng đăng ký đất đai xác nhận có đủ điều kiện được công nhận quyền sử dụng đất theo quy định của pháp luật đất đai;</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6. Đối với tổ chức trong nước thực hiện dự án trồng rừng sản xuất bằng nguồn vốn không có nguồn gốc từ ngân sách nhà nước thì phải có quyết định phê duyệt dự án hoặc quyết định đầu tư dự án hoặc giấy chứng nhận đầu tư để trồng rừng sản xuất theo quy định của pháp luật về đầu tư;</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7. Đối với doanh nghiệp có vốn đầu tư nước ngoài, người Việt Nam định cư ở nước ngoài thực hiện dự án trồng rừng sản xuất thì phải có quyết định phê duyệt dự án hoặc quyết định đầu tư dự án hoặc giấy phép đầu tư hoặc giấy chứng nhận đầu tư để trồng rừng sản xuất theo quy định của pháp luật về đầu tư;</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8. Trường hợp chủ sở hữu rừng sản xuất là rừng trồng không đồng thời là người sử dụng đất thì ngoài giấy tờ theo quy định tại các Khoản 1, 2, 3, 4, 5, 6 và 7 Điều này, phải có văn bản thỏa thuận của người sử dụng đất cho phép sử dụng đất để trồng rừng đã được công chứng hoặc chứng thực theo quy định của pháp luật và bản sao giấy tờ về quyền sử dụng đất theo quy định của pháp luật về đất đai.</w:t>
      </w:r>
    </w:p>
    <w:p w:rsidR="001D4381" w:rsidRPr="004F45DB" w:rsidRDefault="001D4381" w:rsidP="001D4381">
      <w:pPr>
        <w:pStyle w:val="NormalWeb"/>
        <w:spacing w:after="120" w:afterAutospacing="0" w:line="320" w:lineRule="exact"/>
        <w:ind w:firstLine="562"/>
        <w:jc w:val="both"/>
        <w:rPr>
          <w:b/>
          <w:color w:val="000000"/>
          <w:sz w:val="28"/>
          <w:szCs w:val="28"/>
        </w:rPr>
      </w:pPr>
      <w:r w:rsidRPr="004F45DB">
        <w:rPr>
          <w:b/>
          <w:color w:val="000000"/>
          <w:sz w:val="28"/>
          <w:szCs w:val="28"/>
        </w:rPr>
        <w:t>Điều 34. Chứng nhận quyền sở hữu cây lâu năm</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lastRenderedPageBreak/>
        <w:t>Chủ sở hữu cây lâu năm được chứng nhận quyền sở hữu khi có một trong các giấy tờ sau:</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1. Giấy chứng nhận hoặc một trong các giấy tờ quy định tại Điều 100 của Luật Đất đai và Điều 18 của Nghị định này mà trong đó xác định Nhà nước giao đất, cho thuê đất, công nhận quyền sử dụng đất để trồng cây lâu năm phù hợp với mục đích sử dụng đất ghi trên giấy tờ đó;</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2. Hợp đồng hoặc văn bản về việc mua bán hoặc tặng cho hoặc thừa kế đối với cây lâu năm đã được công chứng hoặc chứng thực theo quy định;</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3. Bản án, quyết định của Tòa án nhân dân hoặc giấy tờ của cơ quan nhà nước có thẩm quyền giải quyết được quyền sở hữu cây lâu năm đã có hiệu lực pháp luật;</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4. Trường hợp hộ gia đình, cá nhân, cộng đồng dân cư không có giấy tờ quy định tại các Khoản 1, 2 và 3 Điều này thì phải được Văn phòng đăng ký đất đai xác nhận có đủ điều kiện được công nhận quyền sử dụng đất theo quy định của pháp luật đất đai;</w:t>
      </w:r>
    </w:p>
    <w:p w:rsidR="001D4381" w:rsidRPr="004F45DB" w:rsidRDefault="001D4381" w:rsidP="001D4381">
      <w:pPr>
        <w:pStyle w:val="NormalWeb"/>
        <w:spacing w:before="0" w:beforeAutospacing="0" w:after="0" w:afterAutospacing="0"/>
        <w:ind w:firstLine="561"/>
        <w:jc w:val="both"/>
        <w:rPr>
          <w:color w:val="000000"/>
          <w:sz w:val="28"/>
          <w:szCs w:val="28"/>
        </w:rPr>
      </w:pPr>
      <w:r w:rsidRPr="004F45DB">
        <w:rPr>
          <w:color w:val="000000"/>
          <w:sz w:val="28"/>
          <w:szCs w:val="28"/>
        </w:rPr>
        <w:t>5. Đối với tổ chức trong nước thì phải có quyết định phê duyệt dự án hoặc quyết định đầu tư dự án hoặc giấy chứng nhận đầu tư hoặc giấy phép đầu tư để trồng cây lâu năm theo quy định của pháp luật về đầu tư;</w:t>
      </w:r>
    </w:p>
    <w:p w:rsidR="001D4381" w:rsidRPr="004F45DB" w:rsidRDefault="001D4381" w:rsidP="001D4381">
      <w:pPr>
        <w:pStyle w:val="NormalWeb"/>
        <w:spacing w:before="0" w:beforeAutospacing="0" w:after="0" w:afterAutospacing="0"/>
        <w:ind w:firstLine="561"/>
        <w:jc w:val="both"/>
        <w:rPr>
          <w:b/>
          <w:color w:val="000000"/>
          <w:sz w:val="28"/>
          <w:szCs w:val="28"/>
          <w:lang w:eastAsia="vi-VN"/>
        </w:rPr>
      </w:pPr>
      <w:r w:rsidRPr="004F45DB">
        <w:rPr>
          <w:color w:val="000000"/>
          <w:sz w:val="28"/>
          <w:szCs w:val="28"/>
        </w:rPr>
        <w:t>6. Trường hợp chủ sở hữu cây lâu năm không đồng thời là người sử dụng đất thì ngoài giấy tờ theo quy định tại các Khoản 1, 2, 3, 4 và 5 Điều này, phải có văn bản thỏa thuận của người sử dụng đất cho phép sử dụng đất để trồng cây lâu năm đã được công chứng hoặc chứng thực theo quy định của pháp luật và bản sao giấy tờ về quyền sử dụng đất theo quy định của pháp luật về đất đai;</w:t>
      </w:r>
    </w:p>
    <w:p w:rsidR="00441FA0" w:rsidRDefault="001D4381" w:rsidP="001D4381">
      <w:r w:rsidRPr="004F45DB">
        <w:rPr>
          <w:rFonts w:eastAsia="Times New Roman"/>
          <w:b/>
          <w:color w:val="000000"/>
          <w:szCs w:val="24"/>
          <w:lang w:val="vi-VN" w:eastAsia="vi-VN"/>
        </w:rPr>
        <w:br w:type="page"/>
      </w:r>
      <w:bookmarkStart w:id="0" w:name="_GoBack"/>
      <w:bookmarkEnd w:id="0"/>
    </w:p>
    <w:sectPr w:rsidR="00441F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81"/>
    <w:rsid w:val="001D4381"/>
    <w:rsid w:val="0037464E"/>
    <w:rsid w:val="0044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D132A-8748-40A3-8357-83B98496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381"/>
    <w:pPr>
      <w:spacing w:after="120" w:line="276" w:lineRule="auto"/>
    </w:pPr>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4381"/>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Trọng Nghĩa</dc:creator>
  <cp:keywords/>
  <dc:description/>
  <cp:lastModifiedBy>Đoàn Trọng Nghĩa</cp:lastModifiedBy>
  <cp:revision>1</cp:revision>
  <dcterms:created xsi:type="dcterms:W3CDTF">2022-11-29T02:14:00Z</dcterms:created>
  <dcterms:modified xsi:type="dcterms:W3CDTF">2022-11-29T02:15:00Z</dcterms:modified>
</cp:coreProperties>
</file>