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0F638" w14:textId="77777777" w:rsidR="00A6053B" w:rsidRPr="00605852" w:rsidRDefault="00A6053B" w:rsidP="00A6053B">
      <w:pPr>
        <w:jc w:val="center"/>
        <w:rPr>
          <w:rFonts w:ascii="Times New Roman" w:hAnsi="Times New Roman"/>
          <w:b/>
          <w:sz w:val="28"/>
          <w:szCs w:val="28"/>
        </w:rPr>
      </w:pPr>
      <w:r w:rsidRPr="00605852">
        <w:rPr>
          <w:rFonts w:ascii="Times New Roman" w:hAnsi="Times New Roman"/>
          <w:b/>
          <w:sz w:val="28"/>
          <w:szCs w:val="28"/>
        </w:rPr>
        <w:t>Phụ lục</w:t>
      </w:r>
    </w:p>
    <w:p w14:paraId="322282C9" w14:textId="77777777" w:rsidR="00A6053B" w:rsidRPr="00605852" w:rsidRDefault="00A6053B" w:rsidP="00A6053B">
      <w:pPr>
        <w:jc w:val="center"/>
        <w:rPr>
          <w:rFonts w:ascii="Times New Roman" w:eastAsia="Times New Roman" w:hAnsi="Times New Roman"/>
          <w:b/>
          <w:sz w:val="28"/>
          <w:szCs w:val="28"/>
        </w:rPr>
      </w:pPr>
      <w:r w:rsidRPr="00605852">
        <w:rPr>
          <w:rFonts w:ascii="Times New Roman" w:eastAsia="Times New Roman" w:hAnsi="Times New Roman"/>
          <w:b/>
          <w:sz w:val="28"/>
          <w:szCs w:val="28"/>
        </w:rPr>
        <w:t>Đề cương quy định quản lý theo đồ án quy hoạch chi tiết đô thị</w:t>
      </w:r>
    </w:p>
    <w:p w14:paraId="71001496" w14:textId="77777777" w:rsidR="00A6053B" w:rsidRPr="00605852" w:rsidRDefault="00A6053B" w:rsidP="00A6053B">
      <w:pPr>
        <w:pStyle w:val="BodyText2"/>
        <w:spacing w:before="120" w:after="120" w:line="252" w:lineRule="auto"/>
        <w:rPr>
          <w:rFonts w:ascii="Times New Roman" w:hAnsi="Times New Roman"/>
          <w:bCs/>
          <w:i/>
          <w:lang w:val="es-ES"/>
        </w:rPr>
      </w:pPr>
      <w:r w:rsidRPr="00605852">
        <w:rPr>
          <w:rFonts w:ascii="Times New Roman" w:hAnsi="Times New Roman"/>
          <w:bCs/>
          <w:i/>
          <w:lang w:val="es-ES"/>
        </w:rPr>
        <w:t xml:space="preserve"> (ban hành theo Thông tư số 10/2010/TT-BXD)</w:t>
      </w:r>
    </w:p>
    <w:p w14:paraId="2B22A7D8" w14:textId="77777777" w:rsidR="00A6053B" w:rsidRPr="00605852" w:rsidRDefault="00A6053B" w:rsidP="00A6053B">
      <w:pPr>
        <w:spacing w:before="120"/>
        <w:ind w:left="0"/>
        <w:rPr>
          <w:rFonts w:ascii="Times New Roman" w:hAnsi="Times New Roman"/>
          <w:sz w:val="28"/>
          <w:szCs w:val="28"/>
        </w:rPr>
      </w:pPr>
      <w:r w:rsidRPr="00605852">
        <w:rPr>
          <w:rFonts w:ascii="Times New Roman" w:hAnsi="Times New Roman"/>
          <w:b/>
          <w:sz w:val="28"/>
          <w:szCs w:val="28"/>
        </w:rPr>
        <w:t>1. Phần I:</w:t>
      </w:r>
      <w:r w:rsidRPr="00605852">
        <w:rPr>
          <w:rFonts w:ascii="Times New Roman" w:hAnsi="Times New Roman"/>
          <w:sz w:val="28"/>
          <w:szCs w:val="28"/>
        </w:rPr>
        <w:t xml:space="preserve"> Quy định chung</w:t>
      </w:r>
    </w:p>
    <w:p w14:paraId="6B8DCBEE" w14:textId="77777777" w:rsidR="00A6053B" w:rsidRPr="00605852" w:rsidRDefault="00A6053B" w:rsidP="00A6053B">
      <w:pPr>
        <w:spacing w:before="120"/>
        <w:ind w:left="0"/>
        <w:rPr>
          <w:rFonts w:ascii="Times New Roman" w:hAnsi="Times New Roman"/>
          <w:sz w:val="28"/>
          <w:szCs w:val="28"/>
        </w:rPr>
      </w:pPr>
      <w:r w:rsidRPr="00605852">
        <w:rPr>
          <w:rFonts w:ascii="Times New Roman" w:hAnsi="Times New Roman"/>
          <w:sz w:val="28"/>
          <w:szCs w:val="28"/>
        </w:rPr>
        <w:t>a) Đối tượng áp dụng, phân công quản lý thực hiện;</w:t>
      </w:r>
    </w:p>
    <w:p w14:paraId="39D547B9" w14:textId="77777777" w:rsidR="00A6053B" w:rsidRPr="00605852" w:rsidRDefault="00A6053B" w:rsidP="00A6053B">
      <w:pPr>
        <w:spacing w:before="120"/>
        <w:ind w:left="0"/>
        <w:rPr>
          <w:rFonts w:ascii="Times New Roman" w:hAnsi="Times New Roman"/>
          <w:sz w:val="28"/>
          <w:szCs w:val="28"/>
        </w:rPr>
      </w:pPr>
      <w:r w:rsidRPr="00605852">
        <w:rPr>
          <w:rFonts w:ascii="Times New Roman" w:hAnsi="Times New Roman"/>
          <w:sz w:val="28"/>
          <w:szCs w:val="28"/>
        </w:rPr>
        <w:t>b) Phạm vi ranh giới, quy mô diện tích khu vực lập quy hoạch;</w:t>
      </w:r>
    </w:p>
    <w:p w14:paraId="462D4B2A" w14:textId="77777777" w:rsidR="00A6053B" w:rsidRPr="00605852" w:rsidRDefault="00A6053B" w:rsidP="00A6053B">
      <w:pPr>
        <w:spacing w:before="120"/>
        <w:ind w:left="0"/>
        <w:rPr>
          <w:rFonts w:ascii="Times New Roman" w:hAnsi="Times New Roman"/>
          <w:sz w:val="28"/>
          <w:szCs w:val="28"/>
        </w:rPr>
      </w:pPr>
      <w:r w:rsidRPr="00605852">
        <w:rPr>
          <w:rFonts w:ascii="Times New Roman" w:hAnsi="Times New Roman"/>
          <w:sz w:val="28"/>
          <w:szCs w:val="28"/>
        </w:rPr>
        <w:t xml:space="preserve">c) Quy định về sử dụng đất (quy mô diện tích, chức năng) và nguyên tắc kiểm soát không gian kiến trúc cảnh quan khu vực lập quy </w:t>
      </w:r>
      <w:proofErr w:type="gramStart"/>
      <w:r w:rsidRPr="00605852">
        <w:rPr>
          <w:rFonts w:ascii="Times New Roman" w:hAnsi="Times New Roman"/>
          <w:sz w:val="28"/>
          <w:szCs w:val="28"/>
        </w:rPr>
        <w:t>hoạch ;</w:t>
      </w:r>
      <w:proofErr w:type="gramEnd"/>
    </w:p>
    <w:p w14:paraId="52A9649F" w14:textId="77777777" w:rsidR="00A6053B" w:rsidRPr="00605852" w:rsidRDefault="00A6053B" w:rsidP="00A6053B">
      <w:pPr>
        <w:spacing w:before="120"/>
        <w:ind w:left="0"/>
        <w:rPr>
          <w:rFonts w:ascii="Times New Roman" w:hAnsi="Times New Roman"/>
          <w:sz w:val="28"/>
          <w:szCs w:val="28"/>
        </w:rPr>
      </w:pPr>
      <w:r w:rsidRPr="00605852">
        <w:rPr>
          <w:rFonts w:ascii="Times New Roman" w:hAnsi="Times New Roman"/>
          <w:sz w:val="28"/>
          <w:szCs w:val="28"/>
        </w:rPr>
        <w:t>d) Các quy định chủ yếu về hệ thống hạ tầng kỹ thuật (giao thông, cao độ nền và thoát nước mưa, cấp nước, năng lượng, chiếu sáng, thoát nước thải, thông tin liên lạc, xử lý chất thải rắn, nghĩa trang…) kết nối với hệ thống hạ tầng kỹ thuật của khu vực.</w:t>
      </w:r>
    </w:p>
    <w:p w14:paraId="478603D9" w14:textId="77777777" w:rsidR="00A6053B" w:rsidRPr="00605852" w:rsidRDefault="00A6053B" w:rsidP="00A6053B">
      <w:pPr>
        <w:spacing w:before="120"/>
        <w:ind w:left="0"/>
        <w:rPr>
          <w:rFonts w:ascii="Times New Roman" w:hAnsi="Times New Roman"/>
          <w:sz w:val="28"/>
          <w:szCs w:val="28"/>
        </w:rPr>
      </w:pPr>
      <w:r w:rsidRPr="00605852">
        <w:rPr>
          <w:rFonts w:ascii="Times New Roman" w:hAnsi="Times New Roman"/>
          <w:b/>
          <w:sz w:val="28"/>
          <w:szCs w:val="28"/>
        </w:rPr>
        <w:t>2. Phần II:</w:t>
      </w:r>
      <w:r w:rsidRPr="00605852">
        <w:rPr>
          <w:rFonts w:ascii="Times New Roman" w:hAnsi="Times New Roman"/>
          <w:sz w:val="28"/>
          <w:szCs w:val="28"/>
        </w:rPr>
        <w:t xml:space="preserve"> Quy định cụ thể </w:t>
      </w:r>
    </w:p>
    <w:p w14:paraId="7B4E7EBC" w14:textId="77777777" w:rsidR="00A6053B" w:rsidRPr="00605852" w:rsidRDefault="00A6053B" w:rsidP="00A6053B">
      <w:pPr>
        <w:spacing w:before="120"/>
        <w:ind w:left="0"/>
        <w:rPr>
          <w:rFonts w:ascii="Times New Roman" w:hAnsi="Times New Roman"/>
          <w:sz w:val="28"/>
          <w:szCs w:val="28"/>
        </w:rPr>
      </w:pPr>
      <w:r w:rsidRPr="00605852">
        <w:rPr>
          <w:rFonts w:ascii="Times New Roman" w:hAnsi="Times New Roman"/>
          <w:sz w:val="28"/>
          <w:szCs w:val="28"/>
        </w:rPr>
        <w:t>a) Vị trí, quy mô diện tích, quy định về mật độ dân cư, chức năng, chỉ tiêu sử dụng đất quy hoạch đô thị (mật độ xây dựng, hệ số sử dụng đất, chiều cao xây dựng tối đa và tối thiểu của công trình), cốt xây dựng; chiều cao, cốt sàn và trần tầng một yêu cầu hạ tầng kỹ thuật đối với từng lô đất trong ô phố của khu vực quy hoạch.</w:t>
      </w:r>
    </w:p>
    <w:p w14:paraId="0D60E983" w14:textId="77777777" w:rsidR="00A6053B" w:rsidRPr="00605852" w:rsidRDefault="00A6053B" w:rsidP="00A6053B">
      <w:pPr>
        <w:spacing w:before="120"/>
        <w:ind w:left="0"/>
        <w:rPr>
          <w:rFonts w:ascii="Times New Roman" w:hAnsi="Times New Roman"/>
          <w:sz w:val="28"/>
          <w:szCs w:val="28"/>
        </w:rPr>
      </w:pPr>
      <w:r w:rsidRPr="00605852">
        <w:rPr>
          <w:rFonts w:ascii="Times New Roman" w:hAnsi="Times New Roman"/>
          <w:sz w:val="28"/>
          <w:szCs w:val="28"/>
        </w:rPr>
        <w:t>b) Quy định về chỉ giới đường đỏ, chỉ giới xây dựng và yêu cầu kỹ thuật đối với từng tuyến đường, ngõ phố;</w:t>
      </w:r>
    </w:p>
    <w:p w14:paraId="59EAF9C4" w14:textId="77777777" w:rsidR="00A6053B" w:rsidRPr="00605852" w:rsidRDefault="00A6053B" w:rsidP="00A6053B">
      <w:pPr>
        <w:spacing w:before="120"/>
        <w:ind w:left="0"/>
        <w:rPr>
          <w:rFonts w:ascii="Times New Roman" w:hAnsi="Times New Roman"/>
          <w:sz w:val="28"/>
          <w:szCs w:val="28"/>
        </w:rPr>
      </w:pPr>
      <w:r w:rsidRPr="00605852">
        <w:rPr>
          <w:rFonts w:ascii="Times New Roman" w:hAnsi="Times New Roman"/>
          <w:sz w:val="28"/>
          <w:szCs w:val="28"/>
        </w:rPr>
        <w:t>c) Phạm vi bảo vệ, hành lang an toàn đối với công trình hạ tầng kỹ thuật và công trình ngầm (nếu có).</w:t>
      </w:r>
    </w:p>
    <w:p w14:paraId="267CB05E" w14:textId="77777777" w:rsidR="00A6053B" w:rsidRPr="00605852" w:rsidRDefault="00A6053B" w:rsidP="00A6053B">
      <w:pPr>
        <w:spacing w:before="120"/>
        <w:ind w:left="0"/>
        <w:rPr>
          <w:rFonts w:ascii="Times New Roman" w:hAnsi="Times New Roman"/>
          <w:sz w:val="28"/>
          <w:szCs w:val="28"/>
        </w:rPr>
      </w:pPr>
      <w:r w:rsidRPr="00605852">
        <w:rPr>
          <w:rFonts w:ascii="Times New Roman" w:hAnsi="Times New Roman"/>
          <w:sz w:val="28"/>
          <w:szCs w:val="28"/>
        </w:rPr>
        <w:t xml:space="preserve">d) Quy định về hình thức kiến trúc và hàng rào công trình, vật liệu chủ </w:t>
      </w:r>
      <w:proofErr w:type="gramStart"/>
      <w:r w:rsidRPr="00605852">
        <w:rPr>
          <w:rFonts w:ascii="Times New Roman" w:hAnsi="Times New Roman"/>
          <w:sz w:val="28"/>
          <w:szCs w:val="28"/>
        </w:rPr>
        <w:t>đạo  xây</w:t>
      </w:r>
      <w:proofErr w:type="gramEnd"/>
      <w:r w:rsidRPr="00605852">
        <w:rPr>
          <w:rFonts w:ascii="Times New Roman" w:hAnsi="Times New Roman"/>
          <w:sz w:val="28"/>
          <w:szCs w:val="28"/>
        </w:rPr>
        <w:t xml:space="preserve"> dựng của công trình ; </w:t>
      </w:r>
    </w:p>
    <w:p w14:paraId="1886C9A9" w14:textId="77777777" w:rsidR="00A6053B" w:rsidRPr="00605852" w:rsidRDefault="00A6053B" w:rsidP="00A6053B">
      <w:pPr>
        <w:spacing w:before="120"/>
        <w:ind w:left="0"/>
        <w:rPr>
          <w:rFonts w:ascii="Times New Roman" w:hAnsi="Times New Roman"/>
          <w:sz w:val="28"/>
          <w:szCs w:val="28"/>
        </w:rPr>
      </w:pPr>
      <w:r w:rsidRPr="00605852">
        <w:rPr>
          <w:rFonts w:ascii="Times New Roman" w:hAnsi="Times New Roman"/>
          <w:sz w:val="28"/>
          <w:szCs w:val="28"/>
        </w:rPr>
        <w:t xml:space="preserve">đ) Quy </w:t>
      </w:r>
      <w:proofErr w:type="gramStart"/>
      <w:r w:rsidRPr="00605852">
        <w:rPr>
          <w:rFonts w:ascii="Times New Roman" w:hAnsi="Times New Roman"/>
          <w:sz w:val="28"/>
          <w:szCs w:val="28"/>
        </w:rPr>
        <w:t>định  về</w:t>
      </w:r>
      <w:proofErr w:type="gramEnd"/>
      <w:r w:rsidRPr="00605852">
        <w:rPr>
          <w:rFonts w:ascii="Times New Roman" w:hAnsi="Times New Roman"/>
          <w:sz w:val="28"/>
          <w:szCs w:val="28"/>
        </w:rPr>
        <w:t xml:space="preserve"> vật thể kiến trúc, tổ chức cây xanh công cộng, sân vườn, cây xanh đường phố, mặt nước, không gian mở, điểm nhấn.</w:t>
      </w:r>
    </w:p>
    <w:p w14:paraId="05F32520" w14:textId="77777777" w:rsidR="00A6053B" w:rsidRPr="00605852" w:rsidRDefault="00A6053B" w:rsidP="00A6053B">
      <w:pPr>
        <w:spacing w:before="120"/>
        <w:ind w:left="0"/>
        <w:rPr>
          <w:rFonts w:ascii="Times New Roman" w:hAnsi="Times New Roman"/>
          <w:sz w:val="28"/>
          <w:szCs w:val="28"/>
        </w:rPr>
      </w:pPr>
      <w:r w:rsidRPr="00605852">
        <w:rPr>
          <w:rFonts w:ascii="Times New Roman" w:hAnsi="Times New Roman"/>
          <w:b/>
          <w:sz w:val="28"/>
          <w:szCs w:val="28"/>
        </w:rPr>
        <w:t>3. Phần III.</w:t>
      </w:r>
      <w:r w:rsidRPr="00605852">
        <w:rPr>
          <w:rFonts w:ascii="Times New Roman" w:hAnsi="Times New Roman"/>
          <w:sz w:val="28"/>
          <w:szCs w:val="28"/>
        </w:rPr>
        <w:t xml:space="preserve"> Tổ chức thực hiện</w:t>
      </w:r>
    </w:p>
    <w:p w14:paraId="5BE3F019" w14:textId="77777777" w:rsidR="00A6053B" w:rsidRPr="00605852" w:rsidRDefault="00A6053B" w:rsidP="00A6053B">
      <w:pPr>
        <w:spacing w:before="120"/>
        <w:ind w:left="0"/>
        <w:rPr>
          <w:rFonts w:ascii="Times New Roman" w:hAnsi="Times New Roman"/>
          <w:sz w:val="28"/>
          <w:szCs w:val="28"/>
        </w:rPr>
      </w:pPr>
      <w:r w:rsidRPr="00605852">
        <w:rPr>
          <w:rFonts w:ascii="Times New Roman" w:hAnsi="Times New Roman"/>
          <w:sz w:val="28"/>
          <w:szCs w:val="28"/>
        </w:rPr>
        <w:t>Các quy định về tính pháp lý, kế hoạch tổ chức thực hiện quy hoạch chi tiết (lập thiết kế đô thị, dự án đầu tư xây dựng).</w:t>
      </w:r>
    </w:p>
    <w:p w14:paraId="4DEC46D2" w14:textId="7B7995F2" w:rsidR="005F11B3" w:rsidRPr="00A6053B" w:rsidRDefault="005F11B3" w:rsidP="00A6053B"/>
    <w:sectPr w:rsidR="005F11B3" w:rsidRPr="00A60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806"/>
    <w:rsid w:val="000A4DC4"/>
    <w:rsid w:val="001465DE"/>
    <w:rsid w:val="005F11B3"/>
    <w:rsid w:val="005F4EF6"/>
    <w:rsid w:val="00960806"/>
    <w:rsid w:val="009617D0"/>
    <w:rsid w:val="00A6053B"/>
    <w:rsid w:val="00C77E1C"/>
    <w:rsid w:val="00E75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CA5E"/>
  <w15:chartTrackingRefBased/>
  <w15:docId w15:val="{F48C9286-E1DD-4748-BD79-31EDF0FE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806"/>
    <w:pPr>
      <w:spacing w:before="60" w:after="0" w:line="252" w:lineRule="auto"/>
      <w:ind w:left="142" w:firstLine="567"/>
      <w:jc w:val="both"/>
    </w:pPr>
    <w:rPr>
      <w:rFonts w:ascii="Calibri" w:eastAsia="Calibri" w:hAnsi="Calibri" w:cs="Times New Roman"/>
      <w:sz w:val="22"/>
    </w:rPr>
  </w:style>
  <w:style w:type="paragraph" w:styleId="Heading1">
    <w:name w:val="heading 1"/>
    <w:basedOn w:val="Normal"/>
    <w:next w:val="Normal"/>
    <w:link w:val="Heading1Char"/>
    <w:uiPriority w:val="9"/>
    <w:qFormat/>
    <w:rsid w:val="00E75C0E"/>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0806"/>
    <w:pPr>
      <w:spacing w:before="0" w:line="240" w:lineRule="auto"/>
      <w:ind w:left="0" w:firstLine="0"/>
      <w:jc w:val="center"/>
    </w:pPr>
    <w:rPr>
      <w:rFonts w:ascii=".VnTime" w:eastAsia="Times New Roman" w:hAnsi=".VnTime"/>
      <w:sz w:val="28"/>
      <w:szCs w:val="24"/>
    </w:rPr>
  </w:style>
  <w:style w:type="character" w:customStyle="1" w:styleId="BodyText2Char">
    <w:name w:val="Body Text 2 Char"/>
    <w:basedOn w:val="DefaultParagraphFont"/>
    <w:link w:val="BodyText2"/>
    <w:rsid w:val="00960806"/>
    <w:rPr>
      <w:rFonts w:ascii=".VnTime" w:eastAsia="Times New Roman" w:hAnsi=".VnTime" w:cs="Times New Roman"/>
      <w:sz w:val="28"/>
      <w:szCs w:val="24"/>
    </w:rPr>
  </w:style>
  <w:style w:type="character" w:customStyle="1" w:styleId="Heading1Char">
    <w:name w:val="Heading 1 Char"/>
    <w:basedOn w:val="DefaultParagraphFont"/>
    <w:link w:val="Heading1"/>
    <w:uiPriority w:val="9"/>
    <w:rsid w:val="00E75C0E"/>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2020-08-17T07:29:00Z</dcterms:created>
  <dcterms:modified xsi:type="dcterms:W3CDTF">2020-08-17T07:29:00Z</dcterms:modified>
</cp:coreProperties>
</file>