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EF" w:rsidRPr="000960DE" w:rsidRDefault="009565EF" w:rsidP="009565EF">
      <w:pPr>
        <w:keepNext/>
        <w:shd w:val="clear" w:color="auto" w:fill="FFFFFF"/>
        <w:jc w:val="center"/>
        <w:rPr>
          <w:b/>
          <w:sz w:val="26"/>
          <w:szCs w:val="26"/>
          <w:lang w:val="vi-VN"/>
        </w:rPr>
      </w:pPr>
      <w:r w:rsidRPr="000960DE">
        <w:rPr>
          <w:b/>
          <w:sz w:val="26"/>
          <w:szCs w:val="26"/>
          <w:lang w:val="vi-VN"/>
        </w:rPr>
        <w:t>PHỤ LỤC SỐ 04</w:t>
      </w:r>
    </w:p>
    <w:p w:rsidR="009565EF" w:rsidRPr="000960DE" w:rsidRDefault="009565EF" w:rsidP="009565EF">
      <w:pPr>
        <w:keepNext/>
        <w:shd w:val="clear" w:color="auto" w:fill="FFFFFF"/>
        <w:jc w:val="center"/>
        <w:rPr>
          <w:b/>
          <w:sz w:val="26"/>
          <w:szCs w:val="26"/>
          <w:lang w:val="vi-VN"/>
        </w:rPr>
      </w:pPr>
      <w:r w:rsidRPr="000960DE">
        <w:rPr>
          <w:b/>
          <w:sz w:val="26"/>
          <w:szCs w:val="26"/>
          <w:lang w:val="vi-VN"/>
        </w:rPr>
        <w:t xml:space="preserve"> CẤU TRÚC VÀ H</w:t>
      </w:r>
      <w:r w:rsidRPr="000960DE">
        <w:rPr>
          <w:rFonts w:hint="eastAsia"/>
          <w:b/>
          <w:sz w:val="26"/>
          <w:szCs w:val="26"/>
          <w:lang w:val="vi-VN"/>
        </w:rPr>
        <w:t>Ư</w:t>
      </w:r>
      <w:r w:rsidRPr="000960DE">
        <w:rPr>
          <w:b/>
          <w:sz w:val="26"/>
          <w:szCs w:val="26"/>
          <w:lang w:val="vi-VN"/>
        </w:rPr>
        <w:t xml:space="preserve">ỚNG DẪN XÂY DỰNG NỘI DUNG PHƯƠNG </w:t>
      </w:r>
      <w:r w:rsidRPr="000960DE">
        <w:rPr>
          <w:b/>
          <w:bCs/>
          <w:sz w:val="26"/>
          <w:szCs w:val="26"/>
          <w:lang w:val="vi-VN"/>
        </w:rPr>
        <w:t xml:space="preserve">ÁN CẢI TẠO, PHỤC HỒI MÔI TRƯỜNG </w:t>
      </w:r>
      <w:r w:rsidRPr="000960DE">
        <w:rPr>
          <w:b/>
          <w:sz w:val="26"/>
          <w:szCs w:val="26"/>
          <w:lang w:val="vi-VN"/>
        </w:rPr>
        <w:t>BỔ SUNG</w:t>
      </w:r>
    </w:p>
    <w:p w:rsidR="009565EF" w:rsidRPr="000960DE" w:rsidRDefault="009565EF" w:rsidP="009565EF">
      <w:pPr>
        <w:keepNext/>
        <w:shd w:val="clear" w:color="auto" w:fill="FFFFFF"/>
        <w:spacing w:line="247" w:lineRule="auto"/>
        <w:ind w:left="567"/>
        <w:jc w:val="center"/>
        <w:rPr>
          <w:i/>
          <w:sz w:val="26"/>
          <w:szCs w:val="26"/>
          <w:lang w:val="vi-VN"/>
        </w:rPr>
      </w:pPr>
      <w:r w:rsidRPr="000960DE">
        <w:rPr>
          <w:i/>
          <w:sz w:val="26"/>
          <w:szCs w:val="26"/>
          <w:lang w:val="vi-VN"/>
        </w:rPr>
        <w:t>(Ban hành kèm theo Thông tư số 38/2015/TT-BTNMT ngày 30 tháng 6 năm 2015 của Bộ trưởng Bộ Tài nguyên và Môi trường)</w:t>
      </w:r>
    </w:p>
    <w:p w:rsidR="009565EF" w:rsidRPr="000960DE" w:rsidRDefault="009565EF" w:rsidP="009565EF">
      <w:pPr>
        <w:keepNext/>
        <w:shd w:val="clear" w:color="auto" w:fill="FFFFFF"/>
        <w:jc w:val="center"/>
        <w:rPr>
          <w:i/>
          <w:sz w:val="26"/>
          <w:szCs w:val="26"/>
          <w:lang w:val="vi-VN"/>
        </w:rPr>
      </w:pPr>
    </w:p>
    <w:p w:rsidR="009565EF" w:rsidRPr="000960DE" w:rsidRDefault="00757F4F" w:rsidP="002925D5">
      <w:pPr>
        <w:keepNext/>
        <w:shd w:val="clear" w:color="auto" w:fill="FFFFFF"/>
        <w:spacing w:beforeLines="60" w:after="120"/>
        <w:ind w:firstLine="720"/>
        <w:jc w:val="both"/>
        <w:rPr>
          <w:sz w:val="26"/>
          <w:szCs w:val="26"/>
          <w:lang w:val="vi-VN"/>
        </w:rPr>
      </w:pPr>
      <w:r>
        <w:rPr>
          <w:noProof/>
          <w:sz w:val="26"/>
          <w:szCs w:val="26"/>
        </w:rPr>
        <w:pict>
          <v:line id="Line 60" o:spid="_x0000_s1026" style="position:absolute;left:0;text-align:left;z-index:251660288;visibility:visible" from="169pt,5.45pt" to="27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z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"/>
        </w:pict>
      </w:r>
    </w:p>
    <w:p w:rsidR="009565EF" w:rsidRPr="000960DE" w:rsidRDefault="009565EF" w:rsidP="009565EF">
      <w:pPr>
        <w:keepNext/>
        <w:shd w:val="clear" w:color="auto" w:fill="FFFFFF"/>
        <w:spacing w:before="60" w:after="120"/>
        <w:jc w:val="center"/>
        <w:rPr>
          <w:b/>
          <w:sz w:val="26"/>
          <w:szCs w:val="26"/>
          <w:lang w:val="vi-VN"/>
        </w:rPr>
      </w:pPr>
      <w:r w:rsidRPr="000960DE">
        <w:rPr>
          <w:b/>
          <w:sz w:val="26"/>
          <w:szCs w:val="26"/>
          <w:lang w:val="vi-VN"/>
        </w:rPr>
        <w:t>Ch</w:t>
      </w:r>
      <w:r w:rsidRPr="000960DE">
        <w:rPr>
          <w:rFonts w:hint="eastAsia"/>
          <w:b/>
          <w:sz w:val="26"/>
          <w:szCs w:val="26"/>
          <w:lang w:val="vi-VN"/>
        </w:rPr>
        <w:t>ươ</w:t>
      </w:r>
      <w:r w:rsidRPr="000960DE">
        <w:rPr>
          <w:b/>
          <w:sz w:val="26"/>
          <w:szCs w:val="26"/>
          <w:lang w:val="vi-VN"/>
        </w:rPr>
        <w:t>ng  1. KHÁI QUÁT CHUNG</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1. Tên phương án</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Nêu đúng như tên trong phương án cải tạo, phục hồi môi trường đã được cấp quyết định phê duyệt trước đó. Trường hợp đã được đổi tên khác thì nêu cả tên cũ, tên mới và thuyết minh rõ về quá trình, tính pháp lý của việc đổi tên này.</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2. Tổ chức, cá nhân</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Nêu đầy đủ: tên, địa chỉ và phương tiện liên hệ với tổ chức, cá nhân; họ tên và chức danh của người đứng đầu tổ chức, cá nhân tại thời điểm lập phương án cải tạo, phục hồi môi trường bổ sung.</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Tên và địa chỉ đơn vị tư vấn, những người trực tiếp tham gia thực hiện xây dựng phương án cải tạo, phục hồi môi tr</w:t>
      </w:r>
      <w:r w:rsidRPr="000960DE">
        <w:rPr>
          <w:rFonts w:hint="eastAsia"/>
          <w:sz w:val="26"/>
          <w:szCs w:val="26"/>
          <w:lang w:val="vi-VN"/>
        </w:rPr>
        <w:t>ư</w:t>
      </w:r>
      <w:r w:rsidRPr="000960DE">
        <w:rPr>
          <w:sz w:val="26"/>
          <w:szCs w:val="26"/>
          <w:lang w:val="vi-VN"/>
        </w:rPr>
        <w:t>ờng bổ sung.</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3. Căn cứ và mục tiêu đặt ra đối với phương án cải tạo, phục hồi môi trường bổ sung.</w:t>
      </w:r>
    </w:p>
    <w:p w:rsidR="009565EF" w:rsidRPr="000960DE" w:rsidRDefault="009565EF" w:rsidP="009565EF">
      <w:pPr>
        <w:shd w:val="clear" w:color="auto" w:fill="FFFFFF"/>
        <w:spacing w:before="60" w:line="247" w:lineRule="auto"/>
        <w:ind w:firstLine="720"/>
        <w:jc w:val="both"/>
        <w:rPr>
          <w:sz w:val="26"/>
          <w:szCs w:val="26"/>
          <w:lang w:val="vi-VN"/>
        </w:rPr>
      </w:pPr>
      <w:r w:rsidRPr="000960DE">
        <w:rPr>
          <w:b/>
          <w:sz w:val="26"/>
          <w:szCs w:val="26"/>
          <w:lang w:val="vi-VN"/>
        </w:rPr>
        <w:t>4. Vị trí địa lý của phương án</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Mô tả vị trí địa lý, địa điểm thực hiện phương án theo quy định như đối với phương án cải tạo, phục hồi môi trường trước đó khi có sự thay đổi của các đối tượng tự nhiên, các đối tượng về kinh tế - xã hội và các đối tượng khác xung quanh khu vực phương án chịu ảnh hưởng trực tiếp của phương án, kèm theo sơ đồ vị trí địa lý thể hiện các đối tượng này, có chú giải rõ ràng.</w:t>
      </w:r>
    </w:p>
    <w:p w:rsidR="009565EF" w:rsidRPr="000960DE" w:rsidRDefault="009565EF" w:rsidP="009565EF">
      <w:pPr>
        <w:shd w:val="clear" w:color="auto" w:fill="FFFFFF"/>
        <w:spacing w:before="60" w:line="247" w:lineRule="auto"/>
        <w:ind w:firstLine="720"/>
        <w:jc w:val="both"/>
        <w:rPr>
          <w:sz w:val="26"/>
          <w:szCs w:val="26"/>
          <w:lang w:val="vi-VN"/>
        </w:rPr>
      </w:pPr>
      <w:r w:rsidRPr="000960DE">
        <w:rPr>
          <w:b/>
          <w:sz w:val="26"/>
          <w:szCs w:val="26"/>
          <w:lang w:val="vi-VN"/>
        </w:rPr>
        <w:t xml:space="preserve">5. Hiện trạng môi trường tự nhiên và các yếu tố kinh tế, xã hội của khu vực thực hiện phương án </w:t>
      </w:r>
      <w:r w:rsidRPr="000960DE">
        <w:rPr>
          <w:sz w:val="26"/>
          <w:szCs w:val="26"/>
          <w:lang w:val="vi-VN"/>
        </w:rPr>
        <w:t>(cho đến thời điểm lập phương án cải tạo, phục hồi môi trường bổ sung).</w:t>
      </w:r>
    </w:p>
    <w:p w:rsidR="009565EF" w:rsidRPr="000960DE" w:rsidRDefault="009565EF" w:rsidP="009565EF">
      <w:pPr>
        <w:keepNext/>
        <w:shd w:val="clear" w:color="auto" w:fill="FFFFFF"/>
        <w:spacing w:before="60" w:after="120"/>
        <w:jc w:val="center"/>
        <w:rPr>
          <w:b/>
          <w:sz w:val="26"/>
          <w:szCs w:val="26"/>
          <w:lang w:val="vi-VN"/>
        </w:rPr>
      </w:pPr>
      <w:r w:rsidRPr="000960DE">
        <w:rPr>
          <w:b/>
          <w:sz w:val="26"/>
          <w:szCs w:val="26"/>
          <w:lang w:val="vi-VN"/>
        </w:rPr>
        <w:t>Ch</w:t>
      </w:r>
      <w:r w:rsidRPr="000960DE">
        <w:rPr>
          <w:rFonts w:hint="eastAsia"/>
          <w:b/>
          <w:sz w:val="26"/>
          <w:szCs w:val="26"/>
          <w:lang w:val="vi-VN"/>
        </w:rPr>
        <w:t>ươ</w:t>
      </w:r>
      <w:r w:rsidRPr="000960DE">
        <w:rPr>
          <w:b/>
          <w:sz w:val="26"/>
          <w:szCs w:val="26"/>
          <w:lang w:val="vi-VN"/>
        </w:rPr>
        <w:t>ng 2. CÁC GIẢI PHÁP CẢI TẠO, PHỤC HỒI MÔI TRƯỜNG</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1. Những thay đổi về nội dung của phương án</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Mô tả chi tiết, rõ ràng lý do và những nội dung thay đổi của phương án cho đến thời điểm lập phương án cải tạo, phục hồi môi trường bổ sung.</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 xml:space="preserve">2. Các hạng mục cải tạo, phục hồi môi trường </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Mô tả các hạng mục công trình cải tạo, phục hồi môi trường đã và đang thực hiện (nếu có);</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Mô tả lại các hạng mục công trình cải tạo, phục hồi môi trường được giữ nguyên, không thay đổi trong phương án đã phê duyệt;</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lastRenderedPageBreak/>
        <w:t>- Nêu chi tiết những giải pháp cải tạo, phục hồi môi trường; danh mục, khối lượng các hạng mục cải tạo, phục hồi môi trường bổ sung và các thay đổi so với phương án đã được phê duyệt.</w:t>
      </w:r>
    </w:p>
    <w:p w:rsidR="009565EF" w:rsidRPr="000960DE" w:rsidRDefault="009565EF" w:rsidP="009565EF">
      <w:pPr>
        <w:keepNext/>
        <w:shd w:val="clear" w:color="auto" w:fill="FFFFFF"/>
        <w:spacing w:before="60" w:after="120"/>
        <w:jc w:val="center"/>
        <w:rPr>
          <w:b/>
          <w:sz w:val="26"/>
          <w:szCs w:val="26"/>
          <w:lang w:val="vi-VN"/>
        </w:rPr>
      </w:pPr>
      <w:r w:rsidRPr="000960DE">
        <w:rPr>
          <w:b/>
          <w:sz w:val="26"/>
          <w:szCs w:val="26"/>
          <w:lang w:val="vi-VN"/>
        </w:rPr>
        <w:t>Ch</w:t>
      </w:r>
      <w:r w:rsidRPr="000960DE">
        <w:rPr>
          <w:rFonts w:hint="eastAsia"/>
          <w:b/>
          <w:sz w:val="26"/>
          <w:szCs w:val="26"/>
          <w:lang w:val="vi-VN"/>
        </w:rPr>
        <w:t>ươ</w:t>
      </w:r>
      <w:r w:rsidRPr="000960DE">
        <w:rPr>
          <w:b/>
          <w:sz w:val="26"/>
          <w:szCs w:val="26"/>
          <w:lang w:val="vi-VN"/>
        </w:rPr>
        <w:t>ng 3. DỰ TOÁN KINH PHÍ CẢI TẠO, PHỤC HỒI MÔI TRƯỜNG</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1. Kinh phí cải tạo phục hồi môi trường và trình tự ký quỹ</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Đối với các hạng mục công trình cải tạo, phục hồi môi trường đã được xác nhận từng phần, tổ chức, cá nhân trong quá trình tính toán khoản tiền ký quỹ được loại bỏ các hạng mục này nhưng phải giải trình chi tiết;</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Tổ chức, cá nhân tính toán lại khoản tiền ký quỹ cho các hạng mục chưa được xác nhận hoàn thành cải tạo, phục hồi môi trường và các hạng mục công trình có sự thay đổi về giải pháp thực hiện, khối lượng bổ sung có áp dụng các đơn giá mới tại thời điểm lập phương án bổ sung. Việc tính toán khoản tiền ký quỹ tương tự như tính toán trong phương án cải tạo, phục hồi môi trường quy định tại Thông tư này;</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 Tổng số tiền ký quỹ trong phương án bổ sung bằng tổng số tiền ký quỹ của các hạng mục công trình sau khi trừ đi số tiền tổ chức, cá nhân đã ký quỹ. Số tiền ký quỹ hàng năm trong phương án bổ sung được xác định tương tự như quy định tại Thông tư này.</w:t>
      </w:r>
    </w:p>
    <w:p w:rsidR="009565EF" w:rsidRPr="000960DE" w:rsidRDefault="009565EF" w:rsidP="009565EF">
      <w:pPr>
        <w:shd w:val="clear" w:color="auto" w:fill="FFFFFF"/>
        <w:spacing w:before="60" w:line="247" w:lineRule="auto"/>
        <w:ind w:firstLine="720"/>
        <w:jc w:val="both"/>
        <w:rPr>
          <w:b/>
          <w:sz w:val="26"/>
          <w:szCs w:val="26"/>
          <w:lang w:val="vi-VN"/>
        </w:rPr>
      </w:pPr>
      <w:r w:rsidRPr="000960DE">
        <w:rPr>
          <w:b/>
          <w:sz w:val="26"/>
          <w:szCs w:val="26"/>
          <w:lang w:val="vi-VN"/>
        </w:rPr>
        <w:t>2. Kế hoạch thực hiện</w:t>
      </w:r>
    </w:p>
    <w:p w:rsidR="009565EF" w:rsidRPr="000960DE" w:rsidRDefault="009565EF" w:rsidP="009565EF">
      <w:pPr>
        <w:shd w:val="clear" w:color="auto" w:fill="FFFFFF"/>
        <w:spacing w:before="60" w:line="247" w:lineRule="auto"/>
        <w:ind w:firstLine="720"/>
        <w:jc w:val="both"/>
        <w:rPr>
          <w:sz w:val="26"/>
          <w:szCs w:val="26"/>
          <w:lang w:val="vi-VN"/>
        </w:rPr>
      </w:pPr>
      <w:r w:rsidRPr="000960DE">
        <w:rPr>
          <w:sz w:val="26"/>
          <w:szCs w:val="26"/>
          <w:lang w:val="vi-VN"/>
        </w:rPr>
        <w:t>Phân chia kế hoạch thực hiện theo từng năm, từng giai đoạn cải tạo, phục hồi môi trường, chương trình quản lý, giám sát trong thời gian cải tạo, phục hồi môi trường; kế hoạch kiểm tra, xác nhận hoàn thành phương án bổ sung.</w:t>
      </w:r>
    </w:p>
    <w:p w:rsidR="009565EF" w:rsidRPr="000960DE" w:rsidRDefault="009565EF" w:rsidP="009565EF">
      <w:pPr>
        <w:keepNext/>
        <w:shd w:val="clear" w:color="auto" w:fill="FFFFFF"/>
        <w:spacing w:before="60" w:after="120"/>
        <w:jc w:val="center"/>
        <w:rPr>
          <w:b/>
          <w:sz w:val="26"/>
          <w:szCs w:val="26"/>
          <w:lang w:val="vi-VN"/>
        </w:rPr>
      </w:pPr>
      <w:r w:rsidRPr="000960DE">
        <w:rPr>
          <w:b/>
          <w:sz w:val="26"/>
          <w:szCs w:val="26"/>
          <w:lang w:val="vi-VN"/>
        </w:rPr>
        <w:t>Ch</w:t>
      </w:r>
      <w:r w:rsidRPr="000960DE">
        <w:rPr>
          <w:rFonts w:hint="eastAsia"/>
          <w:b/>
          <w:sz w:val="26"/>
          <w:szCs w:val="26"/>
          <w:lang w:val="vi-VN"/>
        </w:rPr>
        <w:t>ươ</w:t>
      </w:r>
      <w:r w:rsidRPr="000960DE">
        <w:rPr>
          <w:b/>
          <w:sz w:val="26"/>
          <w:szCs w:val="26"/>
          <w:lang w:val="vi-VN"/>
        </w:rPr>
        <w:t>ng 4. CAM KẾT VÀ KẾT LUẬN</w:t>
      </w:r>
    </w:p>
    <w:p w:rsidR="009565EF" w:rsidRPr="000960DE" w:rsidRDefault="009565EF" w:rsidP="009565EF">
      <w:pPr>
        <w:shd w:val="clear" w:color="auto" w:fill="FFFFFF"/>
        <w:spacing w:before="60" w:line="247" w:lineRule="auto"/>
        <w:ind w:firstLine="567"/>
        <w:jc w:val="both"/>
        <w:rPr>
          <w:sz w:val="26"/>
          <w:szCs w:val="26"/>
          <w:lang w:val="vi-VN"/>
        </w:rPr>
      </w:pPr>
      <w:r w:rsidRPr="000960DE">
        <w:rPr>
          <w:b/>
          <w:sz w:val="26"/>
          <w:szCs w:val="26"/>
          <w:lang w:val="vi-VN"/>
        </w:rPr>
        <w:t>Cam kết và Kết luận</w:t>
      </w:r>
    </w:p>
    <w:p w:rsidR="009565EF" w:rsidRPr="000960DE" w:rsidRDefault="009565EF" w:rsidP="009565EF">
      <w:pPr>
        <w:keepNext/>
        <w:shd w:val="clear" w:color="auto" w:fill="FFFFFF"/>
        <w:spacing w:before="60" w:line="247" w:lineRule="auto"/>
        <w:ind w:left="567"/>
        <w:rPr>
          <w:i/>
          <w:sz w:val="26"/>
          <w:szCs w:val="26"/>
          <w:lang w:val="vi-VN"/>
        </w:rPr>
      </w:pPr>
      <w:r w:rsidRPr="000960DE">
        <w:rPr>
          <w:i/>
          <w:sz w:val="26"/>
          <w:szCs w:val="26"/>
          <w:lang w:val="vi-VN"/>
        </w:rPr>
        <w:t>Các phụ lục đính kèm tương tự với Phần II của Phụ lục số 2 ban hành kèm theo Thông tư số 38/2015/TT-BTNMT.</w:t>
      </w:r>
    </w:p>
    <w:p w:rsidR="00CD787E" w:rsidRPr="009565EF" w:rsidRDefault="00CD787E">
      <w:pPr>
        <w:rPr>
          <w:lang w:val="vi-VN"/>
        </w:rPr>
      </w:pPr>
    </w:p>
    <w:sectPr w:rsidR="00CD787E" w:rsidRPr="009565EF" w:rsidSect="00CD7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65EF"/>
    <w:rsid w:val="002925D5"/>
    <w:rsid w:val="00757F4F"/>
    <w:rsid w:val="009565EF"/>
    <w:rsid w:val="00CD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43113-49C2-47D6-8090-DD62008BA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E822F-A15A-4F86-8025-DEB3047A4246}">
  <ds:schemaRefs>
    <ds:schemaRef ds:uri="http://schemas.microsoft.com/sharepoint/v3/contenttype/forms"/>
  </ds:schemaRefs>
</ds:datastoreItem>
</file>

<file path=customXml/itemProps3.xml><?xml version="1.0" encoding="utf-8"?>
<ds:datastoreItem xmlns:ds="http://schemas.openxmlformats.org/officeDocument/2006/customXml" ds:itemID="{0397B2A5-A640-47DB-91A4-02DC1A60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4</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2019-09-28T11:13:00Z</dcterms:created>
  <dcterms:modified xsi:type="dcterms:W3CDTF">2019-09-28T11:13:00Z</dcterms:modified>
</cp:coreProperties>
</file>