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728" w:rsidRPr="00A96C1A" w:rsidRDefault="00102728" w:rsidP="00102728">
      <w:pPr>
        <w:spacing w:after="120"/>
        <w:jc w:val="center"/>
        <w:rPr>
          <w:b/>
          <w:sz w:val="28"/>
          <w:szCs w:val="28"/>
          <w:lang w:val="de-DE"/>
        </w:rPr>
      </w:pPr>
      <w:r>
        <w:rPr>
          <w:b/>
          <w:sz w:val="28"/>
          <w:szCs w:val="28"/>
          <w:lang w:val="de-DE"/>
        </w:rPr>
        <w:t xml:space="preserve">Mẫu: </w:t>
      </w:r>
      <w:r w:rsidRPr="00A96C1A">
        <w:rPr>
          <w:b/>
          <w:sz w:val="28"/>
          <w:szCs w:val="28"/>
          <w:lang w:val="de-DE"/>
        </w:rPr>
        <w:t>Phụ lục II</w:t>
      </w:r>
    </w:p>
    <w:p w:rsidR="00102728" w:rsidRPr="00A96C1A" w:rsidRDefault="00102728" w:rsidP="00102728">
      <w:pPr>
        <w:spacing w:after="360" w:line="276" w:lineRule="auto"/>
        <w:jc w:val="center"/>
        <w:rPr>
          <w:b/>
          <w:sz w:val="28"/>
          <w:szCs w:val="28"/>
          <w:lang w:val="de-DE"/>
        </w:rPr>
      </w:pPr>
      <w:r w:rsidRPr="00A96C1A">
        <w:rPr>
          <w:b/>
          <w:sz w:val="28"/>
          <w:szCs w:val="28"/>
          <w:lang w:val="de-DE"/>
        </w:rPr>
        <w:t>HƯỚNG DẪN THẨM ĐỊNH BÁO CÁO NGHIÊN CỨU TIỀN KHẢ THI DỰ ÁN PPP</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xml:space="preserve">Căn cứ tính chất, quy mô, lĩnh vực và nội dung của </w:t>
      </w:r>
      <w:r>
        <w:rPr>
          <w:sz w:val="28"/>
          <w:szCs w:val="28"/>
          <w:lang w:val="de-DE"/>
        </w:rPr>
        <w:t>báo cáo nghiên cứu tiền khả thi (</w:t>
      </w:r>
      <w:r w:rsidRPr="00A96C1A">
        <w:rPr>
          <w:sz w:val="28"/>
          <w:szCs w:val="28"/>
          <w:lang w:val="de-DE"/>
        </w:rPr>
        <w:t>BCNCTKT</w:t>
      </w:r>
      <w:r>
        <w:rPr>
          <w:sz w:val="28"/>
          <w:szCs w:val="28"/>
          <w:lang w:val="de-DE"/>
        </w:rPr>
        <w:t>)</w:t>
      </w:r>
      <w:r w:rsidRPr="00A96C1A">
        <w:rPr>
          <w:sz w:val="28"/>
          <w:szCs w:val="28"/>
          <w:lang w:val="de-DE"/>
        </w:rPr>
        <w:t xml:space="preserve">, báo cáo thẩm định BCNCTKT được thực hiện theo các nội dung hướng dẫn dưới đây. Đối với BCNCTKT do nhà đầu tư lập, cần xem xét các yếu tố mà nhà đầu tư thuyết minh. Đơn vị thẩm định cần đưa ra ý kiến nhận xét cụ thể đối với từng nội dung và đề xuất phương án giải quyết trong trường hợp có nội dung chưa đồng thuận hoặc cần bổ sung, hoàn thiện với đơn vị chuẩn bị dự án hoặc nhà đầu tư đề xuất dự án. </w:t>
      </w:r>
    </w:p>
    <w:p w:rsidR="00102728" w:rsidRPr="00A96C1A" w:rsidRDefault="00102728" w:rsidP="00102728">
      <w:pPr>
        <w:spacing w:before="120" w:after="120" w:line="360" w:lineRule="exact"/>
        <w:ind w:right="140" w:firstLine="709"/>
        <w:jc w:val="both"/>
        <w:rPr>
          <w:b/>
          <w:sz w:val="28"/>
          <w:szCs w:val="28"/>
          <w:lang w:val="de-DE"/>
        </w:rPr>
      </w:pPr>
      <w:r w:rsidRPr="00A96C1A">
        <w:rPr>
          <w:b/>
          <w:sz w:val="28"/>
          <w:szCs w:val="28"/>
          <w:lang w:val="de-DE"/>
        </w:rPr>
        <w:tab/>
        <w:t>A. KHÁI QUÁT VỀ DỰ ÁN</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Trình bày thông tin khái quát về dự án, bao gồ</w:t>
      </w:r>
      <w:r>
        <w:rPr>
          <w:sz w:val="28"/>
          <w:szCs w:val="28"/>
          <w:lang w:val="de-DE"/>
        </w:rPr>
        <w:t>m: T</w:t>
      </w:r>
      <w:r w:rsidRPr="00A96C1A">
        <w:rPr>
          <w:sz w:val="28"/>
          <w:szCs w:val="28"/>
          <w:lang w:val="de-DE"/>
        </w:rPr>
        <w:t>ên dự án; tên cơ quan nhà nước có thẩm quyền ký kết hợp đồng với nhà đầu tư; tên đơn vị chuẩn bị dự án hoặc nhà đầu tư đề xuất dự án; địa điểm, quy mô, công suất dự án, diện tích sử dụng đất; yêu cầu về kỹ thuật; tổng vốn đầu tư; phần Nhà nước tham gia trong dự án (nếu có); loại hợp đồng dự án; các chỉ tiêu chính trong phương án tài chính; thời gian hợp đồng dự án; ưu đãi và bảo đảm đầu tư; các nội dung liên quan khác.</w:t>
      </w:r>
    </w:p>
    <w:p w:rsidR="00102728" w:rsidRPr="00A96C1A" w:rsidRDefault="00102728" w:rsidP="00102728">
      <w:pPr>
        <w:spacing w:before="120" w:after="120" w:line="360" w:lineRule="exact"/>
        <w:ind w:firstLine="709"/>
        <w:jc w:val="both"/>
        <w:rPr>
          <w:rFonts w:ascii="Times New Roman Bold" w:hAnsi="Times New Roman Bold"/>
          <w:b/>
          <w:spacing w:val="-12"/>
          <w:sz w:val="28"/>
          <w:szCs w:val="28"/>
          <w:lang w:val="de-DE"/>
        </w:rPr>
      </w:pPr>
      <w:r w:rsidRPr="00A96C1A">
        <w:rPr>
          <w:b/>
          <w:sz w:val="28"/>
          <w:szCs w:val="28"/>
          <w:lang w:val="de-DE"/>
        </w:rPr>
        <w:t xml:space="preserve">B. </w:t>
      </w:r>
      <w:r w:rsidRPr="00A96C1A">
        <w:rPr>
          <w:rFonts w:ascii="Times New Roman Bold" w:hAnsi="Times New Roman Bold"/>
          <w:b/>
          <w:spacing w:val="-12"/>
          <w:sz w:val="28"/>
          <w:szCs w:val="28"/>
          <w:lang w:val="de-DE"/>
        </w:rPr>
        <w:t>TỔNG HỢP Ý KIẾN CỦA CÁC CƠ QUAN, ĐƠN VỊ CÓ LIÊN QUAN</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xml:space="preserve">Đơn vị thẩm định tổng hợp ý kiến của các cơ quan, đơn vị có liên quan đối với hồ sơ BCNCTKT của dự án. </w:t>
      </w:r>
    </w:p>
    <w:p w:rsidR="00102728" w:rsidRPr="00A96C1A" w:rsidRDefault="00102728" w:rsidP="00102728">
      <w:pPr>
        <w:spacing w:before="120" w:after="120" w:line="360" w:lineRule="exact"/>
        <w:ind w:firstLine="709"/>
        <w:jc w:val="both"/>
        <w:rPr>
          <w:b/>
          <w:bCs/>
          <w:sz w:val="28"/>
          <w:szCs w:val="28"/>
          <w:lang w:val="es-ES"/>
        </w:rPr>
      </w:pPr>
      <w:r w:rsidRPr="00A96C1A">
        <w:rPr>
          <w:b/>
          <w:bCs/>
          <w:sz w:val="28"/>
          <w:szCs w:val="28"/>
          <w:lang w:val="es-ES"/>
        </w:rPr>
        <w:t>C. TỔNG HỢP KẾT QUẢ THẨM ĐỊNH</w:t>
      </w:r>
    </w:p>
    <w:p w:rsidR="00102728" w:rsidRPr="00A96C1A" w:rsidRDefault="00102728" w:rsidP="00102728">
      <w:pPr>
        <w:spacing w:before="120" w:after="120" w:line="360" w:lineRule="exact"/>
        <w:ind w:firstLine="709"/>
        <w:jc w:val="both"/>
        <w:rPr>
          <w:b/>
          <w:sz w:val="28"/>
          <w:szCs w:val="28"/>
          <w:lang w:val="de-DE"/>
        </w:rPr>
      </w:pPr>
      <w:r w:rsidRPr="00A96C1A">
        <w:rPr>
          <w:b/>
          <w:sz w:val="28"/>
          <w:szCs w:val="28"/>
          <w:lang w:val="de-DE"/>
        </w:rPr>
        <w:t>I. Kiểm tra sơ bộ hồ sơ</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Đơn vị thẩm định đưa ra đánh giá về:</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Tính đầy đủ về thành phần, nội dung hồ sơ.</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xml:space="preserve">- Sự phù hợp của căn cứ pháp lý được áp dụng để lập BCNCTKT. </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xml:space="preserve">- Sự tuân thủ quy định của pháp luật trong quá trình tổ chức lập BCNCTKT. </w:t>
      </w:r>
    </w:p>
    <w:p w:rsidR="00102728" w:rsidRPr="00A96C1A" w:rsidRDefault="00102728" w:rsidP="00102728">
      <w:pPr>
        <w:spacing w:before="120" w:after="120" w:line="360" w:lineRule="exact"/>
        <w:ind w:firstLine="709"/>
        <w:jc w:val="both"/>
        <w:rPr>
          <w:b/>
          <w:sz w:val="28"/>
          <w:szCs w:val="28"/>
          <w:lang w:val="de-DE"/>
        </w:rPr>
      </w:pPr>
      <w:r w:rsidRPr="00A96C1A">
        <w:rPr>
          <w:b/>
          <w:sz w:val="28"/>
          <w:szCs w:val="28"/>
          <w:lang w:val="de-DE"/>
        </w:rPr>
        <w:t xml:space="preserve">II. Thẩm định về nội dung của hồ sơ </w:t>
      </w:r>
    </w:p>
    <w:p w:rsidR="00102728" w:rsidRPr="00A96C1A" w:rsidRDefault="00102728" w:rsidP="00102728">
      <w:pPr>
        <w:spacing w:before="120" w:after="120" w:line="360" w:lineRule="exact"/>
        <w:ind w:firstLine="709"/>
        <w:jc w:val="both"/>
        <w:rPr>
          <w:sz w:val="28"/>
          <w:szCs w:val="28"/>
          <w:lang w:val="de-DE"/>
        </w:rPr>
      </w:pPr>
      <w:r w:rsidRPr="00A96C1A">
        <w:rPr>
          <w:b/>
          <w:i/>
          <w:sz w:val="28"/>
          <w:szCs w:val="28"/>
          <w:lang w:val="de-DE"/>
        </w:rPr>
        <w:t>1. Sự cần thiết đầu tư dự án</w:t>
      </w:r>
      <w:r w:rsidRPr="00A96C1A">
        <w:rPr>
          <w:b/>
          <w:i/>
          <w:sz w:val="28"/>
          <w:szCs w:val="28"/>
          <w:lang w:val="de-DE"/>
        </w:rPr>
        <w:tab/>
      </w:r>
      <w:r w:rsidRPr="00A96C1A">
        <w:rPr>
          <w:i/>
          <w:sz w:val="28"/>
          <w:szCs w:val="28"/>
          <w:lang w:val="de-DE"/>
        </w:rPr>
        <w:tab/>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Đơn vị thẩm định xem xét sự phù hợp của BCNCTKT đối với một số nội dung sau:</w:t>
      </w:r>
    </w:p>
    <w:p w:rsidR="00102728" w:rsidRPr="00A96C1A" w:rsidRDefault="00102728" w:rsidP="00102728">
      <w:pPr>
        <w:spacing w:before="120" w:after="120" w:line="360" w:lineRule="exact"/>
        <w:ind w:firstLine="709"/>
        <w:jc w:val="both"/>
        <w:rPr>
          <w:spacing w:val="8"/>
          <w:sz w:val="28"/>
          <w:szCs w:val="28"/>
          <w:lang w:val="de-DE"/>
        </w:rPr>
      </w:pPr>
      <w:r w:rsidRPr="00A96C1A">
        <w:rPr>
          <w:spacing w:val="-4"/>
          <w:sz w:val="28"/>
          <w:szCs w:val="28"/>
          <w:lang w:val="de-DE"/>
        </w:rPr>
        <w:lastRenderedPageBreak/>
        <w:t xml:space="preserve">- </w:t>
      </w:r>
      <w:r w:rsidRPr="00A96C1A">
        <w:rPr>
          <w:spacing w:val="8"/>
          <w:sz w:val="28"/>
          <w:szCs w:val="28"/>
          <w:lang w:val="de-DE"/>
        </w:rPr>
        <w:t>Sự phù hợp của dự án đối với quy hoạch, kế hoạch phát triển ngành, vùng, kế hoạch phát triển kinh tế - xã hội của địa phương.</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Tính cấp bách, cần thiết phải đầu tư dự án.</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Tác động của việc thực hiện dự án đối với cộng đồng, dân cư trong phạm vi dự án.</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Sự phù hợp của các mục tiêu tổng thể và mục tiêu cụ thể đối với hiện trạng của ngành, lĩnh vực hoặc địa phương, khả năng giải quyết các vấn đề mà cộng đồng dân cư yêu cầu.</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Lợi thế của việc đầu tư dự án theo hình thức PPP so với các phương thức đầu tư khác.</w:t>
      </w:r>
    </w:p>
    <w:p w:rsidR="00102728" w:rsidRPr="00A96C1A" w:rsidRDefault="00102728" w:rsidP="00102728">
      <w:pPr>
        <w:keepNext/>
        <w:spacing w:before="120" w:after="120" w:line="360" w:lineRule="exact"/>
        <w:ind w:firstLine="709"/>
        <w:jc w:val="both"/>
        <w:rPr>
          <w:bCs/>
          <w:i/>
          <w:sz w:val="28"/>
          <w:szCs w:val="28"/>
          <w:lang w:val="sv-SE"/>
        </w:rPr>
      </w:pPr>
      <w:r w:rsidRPr="00A96C1A">
        <w:rPr>
          <w:b/>
          <w:bCs/>
          <w:i/>
          <w:sz w:val="28"/>
          <w:szCs w:val="28"/>
          <w:lang w:val="sv-SE"/>
        </w:rPr>
        <w:tab/>
        <w:t>2. Tính khả thi của dự án</w:t>
      </w:r>
    </w:p>
    <w:p w:rsidR="00102728" w:rsidRPr="00A96C1A" w:rsidRDefault="00102728" w:rsidP="00102728">
      <w:pPr>
        <w:spacing w:before="120" w:after="120" w:line="360" w:lineRule="exact"/>
        <w:ind w:firstLine="709"/>
        <w:jc w:val="both"/>
        <w:rPr>
          <w:i/>
          <w:sz w:val="28"/>
          <w:szCs w:val="28"/>
          <w:lang w:val="de-DE"/>
        </w:rPr>
      </w:pPr>
      <w:r w:rsidRPr="00A96C1A">
        <w:rPr>
          <w:i/>
          <w:sz w:val="28"/>
          <w:szCs w:val="28"/>
          <w:lang w:val="de-DE"/>
        </w:rPr>
        <w:t>a) Tính khả thi về mặt kỹ thuật</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xml:space="preserve">- Quy mô, công suất: Xem xét tính hợp lý của các căn cứ lựa chọn quy mô, công suất; sự phù hợp của quy mô, công suất với khả năng cung ứng đầu vào và các yếu tố đầu ra của dự án; tính ổn định của dịch vụ mà dự án cung cấp. </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Phương án kỹ thuật, công nghệ: Xem xét sự phù hợp của phương án kỹ thuật, công nghệ với quy mô, công suất của dự án, các tiêu chuẩn, định mức và yêu cầu kỹ thuật đầu vào; tính sẵn có và khả năng ứng dụng thực tiễn của công nghệ được lựa chọn; tính rõ ràng, đầy đủ của việc xác định các rủi ro kỹ thuật chính, tính hợp lý của phương án giảm thiểu các rủi ro đó.</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xml:space="preserve">- Tính phù hợp của địa điểm sẽ triển khai thực hiện dự án căn cứ đặc điểm về điều kiện tự nhiên, hành chính, xã hội, kinh tế, kỹ thuật, kết cấu hạ tầng, kết quả khảo sát (nếu đã thực hiện). </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Phương án thiết kế sơ bộ: Tổng hợp ý kiến thẩm định của cơ quan chuyên môn về xây dựng theo pháp luật xây dựng đối với dự án có cấu phần xây dựng hoặc cơ quan chuyên môn theo quy định của pháp luật chuyên ngành đối với dự án không có cấu phần xây dựng.</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Phương án bồi thường</w:t>
      </w:r>
      <w:r>
        <w:rPr>
          <w:sz w:val="28"/>
          <w:szCs w:val="28"/>
          <w:lang w:val="de-DE"/>
        </w:rPr>
        <w:t>,</w:t>
      </w:r>
      <w:r w:rsidRPr="00A96C1A">
        <w:rPr>
          <w:sz w:val="28"/>
          <w:szCs w:val="28"/>
          <w:lang w:val="de-DE"/>
        </w:rPr>
        <w:t xml:space="preserve"> </w:t>
      </w:r>
      <w:r>
        <w:rPr>
          <w:sz w:val="28"/>
          <w:szCs w:val="28"/>
          <w:lang w:val="de-DE"/>
        </w:rPr>
        <w:t>hỗ trợ</w:t>
      </w:r>
      <w:r w:rsidRPr="00A96C1A">
        <w:rPr>
          <w:sz w:val="28"/>
          <w:szCs w:val="28"/>
          <w:lang w:val="de-DE"/>
        </w:rPr>
        <w:t>, tái định cư: Đánh giá tính phù hợp và khả thi theo quy định của pháp luật về đất đai.</w:t>
      </w:r>
    </w:p>
    <w:p w:rsidR="00102728" w:rsidRPr="00A96C1A" w:rsidRDefault="00102728" w:rsidP="00102728">
      <w:pPr>
        <w:spacing w:before="120" w:after="120" w:line="360" w:lineRule="exact"/>
        <w:ind w:firstLine="709"/>
        <w:jc w:val="both"/>
        <w:rPr>
          <w:i/>
          <w:sz w:val="28"/>
          <w:szCs w:val="28"/>
          <w:lang w:val="de-DE"/>
        </w:rPr>
      </w:pPr>
      <w:r w:rsidRPr="00A96C1A">
        <w:rPr>
          <w:i/>
          <w:sz w:val="28"/>
          <w:szCs w:val="28"/>
          <w:lang w:val="de-DE"/>
        </w:rPr>
        <w:t xml:space="preserve">b) Hiệu quả kinh tế - xã hội của dự án </w:t>
      </w:r>
    </w:p>
    <w:p w:rsidR="00102728" w:rsidRPr="00A96C1A" w:rsidRDefault="00102728" w:rsidP="00102728">
      <w:pPr>
        <w:widowControl w:val="0"/>
        <w:shd w:val="clear" w:color="auto" w:fill="FFFFFF"/>
        <w:spacing w:before="120" w:after="120" w:line="360" w:lineRule="exact"/>
        <w:ind w:firstLine="709"/>
        <w:jc w:val="both"/>
        <w:rPr>
          <w:sz w:val="28"/>
          <w:szCs w:val="28"/>
          <w:lang w:val="de-DE"/>
        </w:rPr>
      </w:pPr>
      <w:r w:rsidRPr="00A96C1A">
        <w:rPr>
          <w:sz w:val="28"/>
          <w:szCs w:val="28"/>
          <w:lang w:val="de-DE"/>
        </w:rPr>
        <w:t xml:space="preserve">- Đóng góp của dự án cho các nhiệm vụ phát triển kinh tế - xã hội: Việc </w:t>
      </w:r>
      <w:r w:rsidRPr="00A96C1A">
        <w:rPr>
          <w:sz w:val="28"/>
          <w:szCs w:val="28"/>
          <w:lang w:val="de-DE"/>
        </w:rPr>
        <w:lastRenderedPageBreak/>
        <w:t>phân tích hiệu quả kinh tế - xã hội nhằm so sánh lợi ích giữa phương án thực hiện đầu tư dự án với phương án giữ nguyên hiện trạng, không thực hiện đầu tư. Bên cạnh đó, trường hợp lựa chọn giữa nhiều dự án, những dự án có hiệu quả kinh tế - xã hội cao hơn sẽ được ưu tiên lựa chọn trên cơ sở kết hợp khả năng cân đối nguồn lực đầu tư của Nhà nước. Do vậy, đơn vị thẩm định cần xem xét sự phù hợp và tính chính xác của các yếu tố chi phí, lợi ích về mặt kinh tế - xã hội, tỷ số lợi ích trên chi phí về kinh tế của dự án (BCR). Dự án được đánh giá là đạt hiệu quả kinh tế - xã hội khi BCR phải lớn hơn 1 (&gt;1). Trường hợp BCNCTKT không xác định BCR, đơn vị thẩm định xem xét tính hợp lý của các nhóm yếu tố còn lại.</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xml:space="preserve">- Tác động của dự án đối với môi trường, xã hội, quốc phòng, an ninh (nếu có): Xem xét sự phù hợp của phần thuyết minh về tác động của dự án đối với các vấn đề môi trường, xã hội, quốc phòng, an ninh và các tác động khác. </w:t>
      </w:r>
    </w:p>
    <w:p w:rsidR="00102728" w:rsidRPr="00A96C1A" w:rsidRDefault="00102728" w:rsidP="00102728">
      <w:pPr>
        <w:spacing w:before="120" w:after="120" w:line="360" w:lineRule="exact"/>
        <w:ind w:firstLine="709"/>
        <w:jc w:val="both"/>
        <w:rPr>
          <w:i/>
          <w:sz w:val="28"/>
          <w:szCs w:val="28"/>
          <w:lang w:val="de-DE"/>
        </w:rPr>
      </w:pPr>
      <w:r w:rsidRPr="00A96C1A">
        <w:rPr>
          <w:i/>
          <w:sz w:val="28"/>
          <w:szCs w:val="28"/>
          <w:lang w:val="de-DE"/>
        </w:rPr>
        <w:t>c) Tính khả thi về mặt tài chính</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ab/>
        <w:t xml:space="preserve">- Trừ dự án BT, đơn vị thẩm định xem xét sự phù hợp và tính chính xác của các yếu tố tài chính đầu vào, các chỉ tiêu tài chính và sơ bộ phương án tài chính của dự án. Dự án đạt hiệu quả tài chính khi NPV dương (&gt;0). Bên cạnh đó, đối với BCNCTKT bổ sung các chỉ tiêu khác để đánh giá tính khả thi của phương án tài chính theo hướng dẫn của Bộ Tài chính, đơn vị thẩm định xem xét thêm các chỉ tiêu này để đánh giá tính khả thi của dự án.  </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xml:space="preserve">- Đối với dự án có sử dụng phần Nhà nước tham gia trong dự án hoặc vốn </w:t>
      </w:r>
      <w:r w:rsidRPr="00A96C1A">
        <w:rPr>
          <w:spacing w:val="-6"/>
          <w:sz w:val="28"/>
          <w:szCs w:val="28"/>
          <w:lang w:val="de-DE"/>
        </w:rPr>
        <w:t>thanh toán cho nhà đầu tư: Xem xét sự phù hợp của giá trị phần vốn, khả năng cân đối và bố trí vốn, phương thức, kế hoạch và tiến độ giải ngân cho nhà đầu tư.</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Đối với dự án sử dụng giá trị tài sản công làm phần Nhà nước tham gia: Tổng hợp giá trị tài sản công được xác định trong quyết định sử dụng tài sản công để tham gia dự án PPP.</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xml:space="preserve">- Đối với dự án BT sử dụng </w:t>
      </w:r>
      <w:r w:rsidRPr="00A96C1A">
        <w:rPr>
          <w:sz w:val="28"/>
          <w:szCs w:val="28"/>
          <w:lang w:val="sv-SE"/>
        </w:rPr>
        <w:t>quỹ đất, trụ sở làm việc, tài sản kết cấu hạ tầng hoặc quyền kinh doanh, khai thác công trình, dịch vụ thanh toán cho nhà đầu tư</w:t>
      </w:r>
      <w:r w:rsidRPr="00A96C1A">
        <w:rPr>
          <w:sz w:val="28"/>
          <w:szCs w:val="28"/>
          <w:lang w:val="de-DE"/>
        </w:rPr>
        <w:t xml:space="preserve">: Dự án có tính khả thi về tài chính khi </w:t>
      </w:r>
      <w:r w:rsidRPr="00A96C1A">
        <w:rPr>
          <w:sz w:val="28"/>
          <w:szCs w:val="28"/>
          <w:lang w:val="sv-SE"/>
        </w:rPr>
        <w:t>quỹ đất, trụ sở làm việc, tài sản kết cấu hạ tầng được xác định cụ thể, phù hợp với quy định của pháp luật và đảm bảo nguyên tắc thanh toán theo quy định của pháp luật về quản lý và sử dụng tài sản công và pháp luật chuyên ngành</w:t>
      </w:r>
      <w:r w:rsidRPr="00A96C1A">
        <w:rPr>
          <w:sz w:val="28"/>
          <w:szCs w:val="28"/>
          <w:lang w:val="de-DE"/>
        </w:rPr>
        <w:t>.</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ab/>
        <w:t xml:space="preserve">- Sự phù hợp của các hình thức ưu đãi, bảo đảm đầu tư. </w:t>
      </w:r>
    </w:p>
    <w:p w:rsidR="00102728" w:rsidRPr="00A96C1A" w:rsidRDefault="00102728" w:rsidP="00102728">
      <w:pPr>
        <w:spacing w:before="120" w:after="120" w:line="360" w:lineRule="exact"/>
        <w:ind w:firstLine="709"/>
        <w:jc w:val="both"/>
        <w:rPr>
          <w:b/>
          <w:bCs/>
          <w:i/>
          <w:sz w:val="28"/>
          <w:szCs w:val="28"/>
          <w:lang w:val="es-ES"/>
        </w:rPr>
      </w:pPr>
      <w:r w:rsidRPr="00A96C1A">
        <w:rPr>
          <w:b/>
          <w:i/>
          <w:sz w:val="28"/>
          <w:szCs w:val="28"/>
          <w:lang w:val="de-DE"/>
        </w:rPr>
        <w:t>3. S</w:t>
      </w:r>
      <w:r w:rsidRPr="00A96C1A">
        <w:rPr>
          <w:b/>
          <w:bCs/>
          <w:i/>
          <w:sz w:val="28"/>
          <w:szCs w:val="28"/>
          <w:lang w:val="sv-SE"/>
        </w:rPr>
        <w:t>ự phù hợp của loại hợp đồng dự án</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lastRenderedPageBreak/>
        <w:t>Đơn vị thẩm định xem xét BCNCTKT theo một số nội dung sau:</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xml:space="preserve">- Sự phù hợp của loại hợp đồng dự án và thời gian hợp đồng. </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Tính hợp lý trong việc phân chia trách nhiệm của các bên trong quá trình triển khai dự án và các biện pháp phòng ngừa, giảm thiểu rủi ro.</w:t>
      </w:r>
    </w:p>
    <w:p w:rsidR="00102728" w:rsidRPr="00A96C1A" w:rsidRDefault="00102728" w:rsidP="00102728">
      <w:pPr>
        <w:spacing w:before="120" w:after="120" w:line="360" w:lineRule="exact"/>
        <w:ind w:firstLine="709"/>
        <w:jc w:val="both"/>
        <w:rPr>
          <w:rFonts w:ascii="Times New Roman Bold" w:hAnsi="Times New Roman Bold"/>
          <w:sz w:val="28"/>
          <w:szCs w:val="28"/>
          <w:lang w:val="de-DE"/>
        </w:rPr>
      </w:pPr>
      <w:r w:rsidRPr="00A96C1A">
        <w:rPr>
          <w:rFonts w:ascii="Times New Roman Bold" w:hAnsi="Times New Roman Bold"/>
          <w:b/>
          <w:bCs/>
          <w:i/>
          <w:sz w:val="28"/>
          <w:szCs w:val="28"/>
          <w:lang w:val="es-ES"/>
        </w:rPr>
        <w:t>4. Sự phù hợp của kế hoạch triển khai dự án, cơ chế giám sát và quản lý dự án</w:t>
      </w:r>
    </w:p>
    <w:p w:rsidR="00102728" w:rsidRPr="00A96C1A" w:rsidRDefault="00102728" w:rsidP="00102728">
      <w:pPr>
        <w:spacing w:before="120" w:after="120" w:line="360" w:lineRule="exact"/>
        <w:ind w:firstLine="709"/>
        <w:jc w:val="both"/>
        <w:rPr>
          <w:spacing w:val="6"/>
          <w:sz w:val="28"/>
          <w:szCs w:val="28"/>
          <w:lang w:val="de-DE"/>
        </w:rPr>
      </w:pPr>
      <w:r w:rsidRPr="00A96C1A">
        <w:rPr>
          <w:spacing w:val="6"/>
          <w:sz w:val="28"/>
          <w:szCs w:val="28"/>
          <w:lang w:val="de-DE"/>
        </w:rPr>
        <w:t>Đơn vị thẩm định cần xem xét và có ý kiến cụ thể về sự phù hợp của kế hoạch triển khai dự án, cơ chế giám sát và quản lý dự án được trình bày trong BCNCTKT.</w:t>
      </w:r>
    </w:p>
    <w:p w:rsidR="00102728" w:rsidRPr="00A96C1A" w:rsidRDefault="00102728" w:rsidP="00102728">
      <w:pPr>
        <w:spacing w:before="120" w:after="120" w:line="360" w:lineRule="exact"/>
        <w:ind w:firstLine="709"/>
        <w:jc w:val="both"/>
        <w:rPr>
          <w:b/>
          <w:sz w:val="28"/>
          <w:szCs w:val="28"/>
          <w:lang w:val="sv-SE"/>
        </w:rPr>
      </w:pPr>
      <w:r w:rsidRPr="00A96C1A">
        <w:rPr>
          <w:b/>
          <w:sz w:val="28"/>
          <w:szCs w:val="28"/>
          <w:lang w:val="sv-SE"/>
        </w:rPr>
        <w:t>D. NHẬN XÉT VÀ KIẾN NGHỊ</w:t>
      </w:r>
    </w:p>
    <w:p w:rsidR="00102728" w:rsidRPr="00A96C1A" w:rsidRDefault="00102728" w:rsidP="00102728">
      <w:pPr>
        <w:spacing w:before="120" w:after="120" w:line="360" w:lineRule="exact"/>
        <w:ind w:firstLine="709"/>
        <w:jc w:val="both"/>
        <w:rPr>
          <w:b/>
          <w:iCs/>
          <w:sz w:val="28"/>
          <w:szCs w:val="28"/>
          <w:lang w:val="es-ES"/>
        </w:rPr>
      </w:pPr>
      <w:r w:rsidRPr="00A96C1A">
        <w:rPr>
          <w:b/>
          <w:iCs/>
          <w:sz w:val="28"/>
          <w:szCs w:val="28"/>
          <w:lang w:val="es-ES"/>
        </w:rPr>
        <w:t>I. Nhận xét</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Trên cơ sở các phân tích nêu trên, đơn vị thẩm định tổng hợp nhận xét về BCNCTKT, đánh giá sự phù hợp của BCNCTKT với các điều kiện quy định tại khoản 1 Điều 20 Nghị định số 63/2018/NĐ-CP.</w:t>
      </w:r>
    </w:p>
    <w:p w:rsidR="00102728" w:rsidRPr="00A96C1A" w:rsidRDefault="00102728" w:rsidP="00102728">
      <w:pPr>
        <w:spacing w:before="120" w:after="120" w:line="360" w:lineRule="exact"/>
        <w:ind w:firstLine="709"/>
        <w:jc w:val="both"/>
        <w:rPr>
          <w:sz w:val="28"/>
          <w:szCs w:val="28"/>
          <w:lang w:val="de-DE"/>
        </w:rPr>
      </w:pPr>
      <w:r w:rsidRPr="00A96C1A">
        <w:rPr>
          <w:b/>
          <w:iCs/>
          <w:sz w:val="28"/>
          <w:szCs w:val="28"/>
          <w:lang w:val="es-ES"/>
        </w:rPr>
        <w:t>II. Kiến nghị</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Trường hợp BCNCTKT phù hợp với quy định của pháp luật và được đánh giá là khả thi để triển khai đầu tư theo hình thức PPP, đơn vị thẩm định kiến nghị cấp có thẩm quyền thực hiện trình tự, thủ tục quyết định chủ trương đầu tư</w:t>
      </w:r>
      <w:r>
        <w:rPr>
          <w:sz w:val="28"/>
          <w:szCs w:val="28"/>
          <w:lang w:val="de-DE"/>
        </w:rPr>
        <w:t xml:space="preserve"> và kiến nghị nội dung cần được nghiên cứu chi tiết tại báo cáo nghiên cứu khả thi</w:t>
      </w:r>
      <w:r w:rsidRPr="00A96C1A">
        <w:rPr>
          <w:sz w:val="28"/>
          <w:szCs w:val="28"/>
          <w:lang w:val="de-DE"/>
        </w:rPr>
        <w:t>. Trường hợp dự án có từ hai nhà đầu tư trở lên cùng nộp hồ sơ đề xuất dự án theo quy định tại khoản 2 Điều 24 Nghị định số 63/2018/NĐ-CP và Điều 4 Thông tư này, đơn vị thẩm định kiến nghị hồ sơ đề xuất dự án được lựa chọn để cấp có thẩm quyền thực hiện trình tự, thủ tục quyết định chủ trương đầu tư.</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Trường hợp không thống nhất với nội dung của BCNCTKT, đơn vị thẩm định báo cáo cấp có thẩm quyền xem xét, quyết định theo một trong hai phương án sau:</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Phương án 1: Yêu cầu đơn vị chuẩn bị dự án, nhà đầu tư điều chỉnh BCNCTKT.</w:t>
      </w:r>
    </w:p>
    <w:p w:rsidR="00102728" w:rsidRPr="00A96C1A" w:rsidRDefault="00102728" w:rsidP="00102728">
      <w:pPr>
        <w:spacing w:before="120" w:after="120" w:line="360" w:lineRule="exact"/>
        <w:ind w:firstLine="709"/>
        <w:jc w:val="both"/>
        <w:rPr>
          <w:sz w:val="28"/>
          <w:szCs w:val="28"/>
          <w:lang w:val="de-DE"/>
        </w:rPr>
      </w:pPr>
      <w:r w:rsidRPr="00A96C1A">
        <w:rPr>
          <w:sz w:val="28"/>
          <w:szCs w:val="28"/>
          <w:lang w:val="de-DE"/>
        </w:rPr>
        <w:t xml:space="preserve">+ Phương án 2: Không xem xét việc tiếp tục nghiên cứu dự án. </w:t>
      </w:r>
    </w:p>
    <w:p w:rsidR="00102728" w:rsidRPr="00A96C1A" w:rsidRDefault="00102728" w:rsidP="00102728">
      <w:pPr>
        <w:widowControl w:val="0"/>
        <w:tabs>
          <w:tab w:val="left" w:pos="0"/>
        </w:tabs>
        <w:spacing w:before="120" w:after="120" w:line="264" w:lineRule="auto"/>
        <w:ind w:firstLine="720"/>
        <w:jc w:val="both"/>
        <w:rPr>
          <w:sz w:val="28"/>
          <w:szCs w:val="28"/>
          <w:lang w:val="pt-BR"/>
        </w:rPr>
      </w:pPr>
      <w:r w:rsidRPr="00A96C1A">
        <w:rPr>
          <w:sz w:val="28"/>
          <w:szCs w:val="28"/>
          <w:lang w:val="pt-BR"/>
        </w:rPr>
        <w:t xml:space="preserve">- Trường hợp dự án do nhà đầu tư đề xuất phải thực hiện thi tuyển, tuyển chọn phương án kiến trúc theo quy định của pháp luật về xây dựng, đơn vị thẩm </w:t>
      </w:r>
      <w:r w:rsidRPr="00A96C1A">
        <w:rPr>
          <w:sz w:val="28"/>
          <w:szCs w:val="28"/>
          <w:lang w:val="pt-BR"/>
        </w:rPr>
        <w:lastRenderedPageBreak/>
        <w:t>định kiến nghị cấp có thẩm quyền việc giao lập báo cáo nghiên cứu khả thi, thiết kế và dự toán (đối với dự án áp dụng loại hợp đồng BT) theo một trong hai phương án sau:</w:t>
      </w:r>
    </w:p>
    <w:p w:rsidR="00102728" w:rsidRPr="00A96C1A" w:rsidRDefault="00102728" w:rsidP="00102728">
      <w:pPr>
        <w:widowControl w:val="0"/>
        <w:tabs>
          <w:tab w:val="left" w:pos="0"/>
        </w:tabs>
        <w:spacing w:before="120" w:after="120" w:line="264" w:lineRule="auto"/>
        <w:ind w:firstLine="720"/>
        <w:jc w:val="both"/>
        <w:rPr>
          <w:sz w:val="28"/>
          <w:szCs w:val="28"/>
          <w:lang w:val="pt-BR"/>
        </w:rPr>
      </w:pPr>
      <w:r w:rsidRPr="00A96C1A">
        <w:rPr>
          <w:sz w:val="28"/>
          <w:szCs w:val="28"/>
          <w:lang w:val="pt-BR"/>
        </w:rPr>
        <w:t>+ Giao nhà đầu tư thực hiện theo quy định tại khoản 2 Điều 28 và điểm b khoản 2 Điều 33 Nghị định số 63/2018/NĐ-CP.</w:t>
      </w:r>
    </w:p>
    <w:p w:rsidR="00102728" w:rsidRPr="00A96C1A" w:rsidRDefault="00102728" w:rsidP="00102728">
      <w:pPr>
        <w:widowControl w:val="0"/>
        <w:tabs>
          <w:tab w:val="left" w:pos="0"/>
        </w:tabs>
        <w:spacing w:before="120" w:after="120" w:line="264" w:lineRule="auto"/>
        <w:ind w:firstLine="720"/>
        <w:jc w:val="both"/>
        <w:rPr>
          <w:sz w:val="28"/>
          <w:szCs w:val="28"/>
          <w:lang w:val="pt-BR"/>
        </w:rPr>
      </w:pPr>
      <w:r w:rsidRPr="00A96C1A">
        <w:rPr>
          <w:sz w:val="28"/>
          <w:szCs w:val="28"/>
          <w:lang w:val="pt-BR"/>
        </w:rPr>
        <w:t xml:space="preserve">+ Chỉ định tác giả của thiết kế kiến trúc công trình trúng tuyển thực hiện theo pháp luật về đấu thầu.  </w:t>
      </w:r>
    </w:p>
    <w:p w:rsidR="00102728" w:rsidRDefault="00102728" w:rsidP="00102728">
      <w:pPr>
        <w:spacing w:before="120" w:after="120" w:line="340" w:lineRule="exact"/>
        <w:ind w:firstLine="709"/>
        <w:contextualSpacing/>
        <w:jc w:val="both"/>
        <w:rPr>
          <w:b/>
          <w:sz w:val="28"/>
          <w:szCs w:val="28"/>
          <w:lang w:val="de-DE"/>
        </w:rPr>
      </w:pPr>
      <w:r>
        <w:rPr>
          <w:b/>
          <w:sz w:val="28"/>
          <w:szCs w:val="28"/>
          <w:lang w:val="de-DE"/>
        </w:rPr>
        <w:br w:type="column"/>
      </w:r>
    </w:p>
    <w:p w:rsidR="00A43582" w:rsidRDefault="00A43582"/>
    <w:sectPr w:rsidR="00A43582" w:rsidSect="00A435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02728"/>
    <w:rsid w:val="00102728"/>
    <w:rsid w:val="00A435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728"/>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2019-09-19T03:24:00Z</dcterms:created>
  <dcterms:modified xsi:type="dcterms:W3CDTF">2019-09-19T03:24:00Z</dcterms:modified>
</cp:coreProperties>
</file>