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0C" w:rsidRPr="006A18D3" w:rsidRDefault="00837C0C" w:rsidP="00837C0C">
      <w:pPr>
        <w:tabs>
          <w:tab w:val="left" w:pos="6804"/>
        </w:tabs>
        <w:spacing w:after="120"/>
        <w:jc w:val="center"/>
        <w:rPr>
          <w:rFonts w:asciiTheme="majorHAnsi" w:eastAsia="Calibri" w:hAnsiTheme="majorHAnsi" w:cstheme="majorHAnsi"/>
          <w:b/>
          <w:noProof/>
          <w:color w:val="000000"/>
          <w:sz w:val="28"/>
          <w:szCs w:val="28"/>
          <w:lang w:val="en-GB"/>
        </w:rPr>
      </w:pPr>
      <w:r w:rsidRPr="006A18D3">
        <w:rPr>
          <w:rFonts w:asciiTheme="majorHAnsi" w:eastAsia="Calibri" w:hAnsiTheme="majorHAnsi" w:cstheme="majorHAnsi"/>
          <w:b/>
          <w:noProof/>
          <w:color w:val="000000"/>
          <w:sz w:val="28"/>
          <w:szCs w:val="28"/>
          <w:lang w:val="en-GB"/>
        </w:rPr>
        <w:t>Phụ lục số 05</w:t>
      </w:r>
    </w:p>
    <w:p w:rsidR="00837C0C" w:rsidRPr="006A18D3" w:rsidRDefault="00837C0C" w:rsidP="00837C0C">
      <w:pPr>
        <w:spacing w:after="120"/>
        <w:ind w:right="-142"/>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 xml:space="preserve">(Ban hành kèm theo Thông tư số 24/2019/TT-NHNN của Thống đốc Ngân hàng Nhà nước </w:t>
      </w:r>
    </w:p>
    <w:p w:rsidR="00837C0C" w:rsidRPr="006A18D3" w:rsidRDefault="00837C0C" w:rsidP="00837C0C">
      <w:pPr>
        <w:spacing w:after="120"/>
        <w:ind w:right="-142"/>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 xml:space="preserve">Việt Nam quy định về tái cấp vốn dưới hình thức cho vay lại theo hồ sơ tín dụng </w:t>
      </w:r>
    </w:p>
    <w:p w:rsidR="00837C0C" w:rsidRPr="006A18D3" w:rsidRDefault="00837C0C" w:rsidP="00837C0C">
      <w:pPr>
        <w:spacing w:after="120"/>
        <w:ind w:right="-142"/>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đối với tổ chức tín dụng)</w:t>
      </w:r>
    </w:p>
    <w:p w:rsidR="00837C0C" w:rsidRPr="006A18D3" w:rsidRDefault="00837C0C" w:rsidP="00837C0C">
      <w:pPr>
        <w:spacing w:after="120"/>
        <w:jc w:val="center"/>
        <w:rPr>
          <w:rFonts w:asciiTheme="majorHAnsi" w:eastAsia="Calibri" w:hAnsiTheme="majorHAnsi" w:cstheme="majorHAnsi"/>
          <w:i/>
          <w:noProof/>
          <w:color w:val="000000"/>
          <w:sz w:val="28"/>
          <w:szCs w:val="28"/>
          <w:lang w:val="en-GB"/>
        </w:rPr>
      </w:pPr>
    </w:p>
    <w:tbl>
      <w:tblPr>
        <w:tblW w:w="0" w:type="auto"/>
        <w:tblLook w:val="04A0"/>
      </w:tblPr>
      <w:tblGrid>
        <w:gridCol w:w="4077"/>
        <w:gridCol w:w="4644"/>
      </w:tblGrid>
      <w:tr w:rsidR="00837C0C" w:rsidRPr="006A18D3" w:rsidTr="00A11535">
        <w:tc>
          <w:tcPr>
            <w:tcW w:w="4077" w:type="dxa"/>
            <w:hideMark/>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Tên tổ chức tín dụng …..</w:t>
            </w:r>
          </w:p>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b/>
                <w:noProof/>
                <w:color w:val="000000"/>
                <w:sz w:val="28"/>
                <w:szCs w:val="28"/>
                <w:lang w:val="en-GB"/>
              </w:rPr>
              <w:t>Số văn bản: ….</w:t>
            </w:r>
          </w:p>
        </w:tc>
        <w:tc>
          <w:tcPr>
            <w:tcW w:w="4644" w:type="dxa"/>
          </w:tcPr>
          <w:p w:rsidR="00837C0C" w:rsidRPr="006A18D3" w:rsidRDefault="00837C0C" w:rsidP="00A11535">
            <w:pPr>
              <w:spacing w:after="120"/>
              <w:jc w:val="center"/>
              <w:rPr>
                <w:rFonts w:asciiTheme="majorHAnsi" w:hAnsiTheme="majorHAnsi" w:cstheme="majorHAnsi"/>
                <w:noProof/>
                <w:color w:val="000000"/>
                <w:sz w:val="28"/>
                <w:szCs w:val="28"/>
                <w:lang w:val="en-GB"/>
              </w:rPr>
            </w:pPr>
          </w:p>
        </w:tc>
      </w:tr>
    </w:tbl>
    <w:p w:rsidR="00837C0C" w:rsidRPr="006A18D3" w:rsidRDefault="00837C0C" w:rsidP="00837C0C">
      <w:pPr>
        <w:spacing w:after="120"/>
        <w:jc w:val="center"/>
        <w:rPr>
          <w:rFonts w:asciiTheme="majorHAnsi" w:hAnsiTheme="majorHAnsi" w:cstheme="majorHAnsi"/>
          <w:b/>
          <w:bCs/>
          <w:noProof/>
          <w:color w:val="000000"/>
          <w:sz w:val="28"/>
          <w:szCs w:val="28"/>
          <w:lang w:val="en-GB"/>
        </w:rPr>
      </w:pPr>
    </w:p>
    <w:p w:rsidR="00837C0C" w:rsidRPr="006A18D3" w:rsidRDefault="00837C0C" w:rsidP="00837C0C">
      <w:pPr>
        <w:spacing w:after="120"/>
        <w:jc w:val="center"/>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BÁO CÁO VỀ TÌNH HÌNH SỬ DỤNG GIẤY TỜ CÓ GIÁ</w:t>
      </w:r>
    </w:p>
    <w:p w:rsidR="00837C0C" w:rsidRPr="006A18D3" w:rsidRDefault="00837C0C" w:rsidP="00837C0C">
      <w:pPr>
        <w:spacing w:after="120"/>
        <w:jc w:val="center"/>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Ngày  … tháng … năm …</w:t>
      </w:r>
    </w:p>
    <w:p w:rsidR="00837C0C" w:rsidRPr="006A18D3" w:rsidRDefault="00837C0C" w:rsidP="00837C0C">
      <w:pPr>
        <w:spacing w:after="120"/>
        <w:jc w:val="right"/>
        <w:rPr>
          <w:rFonts w:asciiTheme="majorHAnsi" w:eastAsia="Calibri" w:hAnsiTheme="majorHAnsi" w:cstheme="majorHAnsi"/>
          <w:i/>
          <w:noProof/>
          <w:color w:val="000000"/>
          <w:sz w:val="28"/>
          <w:szCs w:val="28"/>
          <w:lang w:val="en-GB"/>
        </w:rPr>
      </w:pPr>
      <w:r w:rsidRPr="006A18D3">
        <w:rPr>
          <w:rFonts w:asciiTheme="majorHAnsi" w:eastAsia="Calibri" w:hAnsiTheme="majorHAnsi" w:cstheme="majorHAnsi"/>
          <w:i/>
          <w:noProof/>
          <w:color w:val="000000"/>
          <w:sz w:val="28"/>
          <w:szCs w:val="28"/>
          <w:lang w:val="en-GB"/>
        </w:rPr>
        <w:tab/>
        <w:t xml:space="preserve">                                  Đơn vị: triệu đồng</w:t>
      </w:r>
    </w:p>
    <w:tbl>
      <w:tblPr>
        <w:tblW w:w="9355" w:type="dxa"/>
        <w:tblInd w:w="108" w:type="dxa"/>
        <w:tblLook w:val="0000"/>
      </w:tblPr>
      <w:tblGrid>
        <w:gridCol w:w="718"/>
        <w:gridCol w:w="7229"/>
        <w:gridCol w:w="1417"/>
      </w:tblGrid>
      <w:tr w:rsidR="00837C0C" w:rsidRPr="006A18D3" w:rsidTr="00A11535">
        <w:trPr>
          <w:trHeight w:val="582"/>
        </w:trPr>
        <w:tc>
          <w:tcPr>
            <w:tcW w:w="709" w:type="dxa"/>
            <w:tcBorders>
              <w:top w:val="single" w:sz="4" w:space="0" w:color="auto"/>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STT</w:t>
            </w:r>
          </w:p>
        </w:tc>
        <w:tc>
          <w:tcPr>
            <w:tcW w:w="7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Chỉ tiêu</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Số dư</w:t>
            </w:r>
          </w:p>
        </w:tc>
      </w:tr>
      <w:tr w:rsidR="00837C0C" w:rsidRPr="006A18D3" w:rsidTr="00A11535">
        <w:trPr>
          <w:trHeight w:val="765"/>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1</w:t>
            </w:r>
          </w:p>
        </w:tc>
        <w:tc>
          <w:tcPr>
            <w:tcW w:w="7229" w:type="dxa"/>
            <w:tcBorders>
              <w:top w:val="nil"/>
              <w:left w:val="single" w:sz="4" w:space="0" w:color="auto"/>
              <w:bottom w:val="single" w:sz="4" w:space="0" w:color="auto"/>
              <w:right w:val="single" w:sz="4" w:space="0" w:color="auto"/>
            </w:tcBorders>
            <w:shd w:val="clear" w:color="auto" w:fill="auto"/>
            <w:vAlign w:val="center"/>
          </w:tcPr>
          <w:p w:rsidR="00837C0C" w:rsidRPr="006A18D3" w:rsidRDefault="00837C0C" w:rsidP="00A11535">
            <w:pPr>
              <w:spacing w:after="120"/>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 xml:space="preserve">Tổng giá trị giấy tờ có giá thuộc danh mục giấy tờ có giá được sử dụng trong các giao dịch của Ngân hàng Nhà nước Việt Nam </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r w:rsidR="00837C0C" w:rsidRPr="006A18D3" w:rsidTr="00A11535">
        <w:trPr>
          <w:trHeight w:val="810"/>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2</w:t>
            </w:r>
          </w:p>
        </w:tc>
        <w:tc>
          <w:tcPr>
            <w:tcW w:w="7229" w:type="dxa"/>
            <w:tcBorders>
              <w:top w:val="nil"/>
              <w:left w:val="single" w:sz="4" w:space="0" w:color="auto"/>
              <w:bottom w:val="single" w:sz="4" w:space="0" w:color="auto"/>
              <w:right w:val="single" w:sz="4" w:space="0" w:color="auto"/>
            </w:tcBorders>
            <w:shd w:val="clear" w:color="auto" w:fill="auto"/>
            <w:vAlign w:val="center"/>
          </w:tcPr>
          <w:p w:rsidR="00837C0C" w:rsidRPr="006A18D3" w:rsidRDefault="00837C0C" w:rsidP="00A11535">
            <w:pPr>
              <w:spacing w:after="120"/>
              <w:rPr>
                <w:rFonts w:asciiTheme="majorHAnsi" w:hAnsiTheme="majorHAnsi" w:cstheme="majorHAnsi"/>
                <w:b/>
                <w:bCs/>
                <w:noProof/>
                <w:color w:val="000000"/>
                <w:sz w:val="28"/>
                <w:szCs w:val="28"/>
                <w:lang w:val="en-GB"/>
              </w:rPr>
            </w:pPr>
            <w:r w:rsidRPr="006A18D3">
              <w:rPr>
                <w:rFonts w:asciiTheme="majorHAnsi" w:hAnsiTheme="majorHAnsi" w:cstheme="majorHAnsi"/>
                <w:b/>
                <w:bCs/>
                <w:noProof/>
                <w:color w:val="000000"/>
                <w:sz w:val="28"/>
                <w:szCs w:val="28"/>
                <w:lang w:val="en-GB"/>
              </w:rPr>
              <w:t>Tổng giá trị giấy tờ có giá thuộc danh mục giấy tờ có giá được sử dụng trong các giao dịch của Ngân hàng Nhà nước Việt Nam đã sử dụng</w:t>
            </w:r>
          </w:p>
          <w:p w:rsidR="00837C0C" w:rsidRPr="006A18D3" w:rsidRDefault="00837C0C" w:rsidP="00A11535">
            <w:pPr>
              <w:spacing w:after="120"/>
              <w:rPr>
                <w:rFonts w:asciiTheme="majorHAnsi" w:hAnsiTheme="majorHAnsi" w:cstheme="majorHAnsi"/>
                <w:b/>
                <w:bCs/>
                <w:noProof/>
                <w:color w:val="000000"/>
                <w:sz w:val="28"/>
                <w:szCs w:val="28"/>
                <w:lang w:val="en-GB"/>
              </w:rPr>
            </w:pPr>
            <w:r w:rsidRPr="006A18D3">
              <w:rPr>
                <w:rFonts w:asciiTheme="majorHAnsi" w:hAnsiTheme="majorHAnsi" w:cstheme="majorHAnsi"/>
                <w:bCs/>
                <w:noProof/>
                <w:color w:val="000000"/>
                <w:sz w:val="28"/>
                <w:szCs w:val="28"/>
                <w:lang w:val="en-GB"/>
              </w:rPr>
              <w:t>(= 2.1 + 2.2 + 2.3 + 2.4)</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r w:rsidR="00837C0C" w:rsidRPr="006A18D3" w:rsidTr="00A11535">
        <w:trPr>
          <w:trHeight w:val="405"/>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2.1</w:t>
            </w:r>
          </w:p>
        </w:tc>
        <w:tc>
          <w:tcPr>
            <w:tcW w:w="7229" w:type="dxa"/>
            <w:tcBorders>
              <w:top w:val="nil"/>
              <w:left w:val="single" w:sz="4" w:space="0" w:color="auto"/>
              <w:bottom w:val="single" w:sz="4" w:space="0" w:color="auto"/>
              <w:right w:val="single" w:sz="4" w:space="0" w:color="auto"/>
            </w:tcBorders>
            <w:shd w:val="clear" w:color="auto" w:fill="auto"/>
            <w:noWrap/>
            <w:vAlign w:val="center"/>
          </w:tcPr>
          <w:p w:rsidR="00837C0C" w:rsidRPr="006A18D3" w:rsidRDefault="00837C0C"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Đã sử dụng trong giao dịch nghiệp vụ thị trường mở</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r w:rsidR="00837C0C" w:rsidRPr="006A18D3" w:rsidTr="00A11535">
        <w:trPr>
          <w:trHeight w:val="405"/>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2.2</w:t>
            </w:r>
          </w:p>
        </w:tc>
        <w:tc>
          <w:tcPr>
            <w:tcW w:w="7229" w:type="dxa"/>
            <w:tcBorders>
              <w:top w:val="nil"/>
              <w:left w:val="single" w:sz="4" w:space="0" w:color="auto"/>
              <w:bottom w:val="single" w:sz="4" w:space="0" w:color="auto"/>
              <w:right w:val="single" w:sz="4" w:space="0" w:color="auto"/>
            </w:tcBorders>
            <w:shd w:val="clear" w:color="auto" w:fill="auto"/>
            <w:noWrap/>
            <w:vAlign w:val="center"/>
          </w:tcPr>
          <w:p w:rsidR="00837C0C" w:rsidRPr="006A18D3" w:rsidRDefault="00837C0C"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Đã sử dụng vay tái cấp vốn</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r w:rsidR="00837C0C" w:rsidRPr="006A18D3" w:rsidTr="00A11535">
        <w:trPr>
          <w:trHeight w:val="405"/>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2.3</w:t>
            </w:r>
          </w:p>
        </w:tc>
        <w:tc>
          <w:tcPr>
            <w:tcW w:w="7229" w:type="dxa"/>
            <w:tcBorders>
              <w:top w:val="nil"/>
              <w:left w:val="single" w:sz="4" w:space="0" w:color="auto"/>
              <w:bottom w:val="single" w:sz="4" w:space="0" w:color="auto"/>
              <w:right w:val="single" w:sz="4" w:space="0" w:color="auto"/>
            </w:tcBorders>
            <w:shd w:val="clear" w:color="auto" w:fill="auto"/>
            <w:noWrap/>
            <w:vAlign w:val="center"/>
          </w:tcPr>
          <w:p w:rsidR="00837C0C" w:rsidRPr="006A18D3" w:rsidRDefault="00837C0C"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 xml:space="preserve">Đã sử dụng trong giao dịch thấu chi và cho vay qua đêm trong thanh toán điện tử liên ngân hàng tại Ngân hàng Nhà nước Việt Nam </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r w:rsidR="00837C0C" w:rsidRPr="006A18D3" w:rsidTr="00A11535">
        <w:trPr>
          <w:trHeight w:val="405"/>
        </w:trPr>
        <w:tc>
          <w:tcPr>
            <w:tcW w:w="709" w:type="dxa"/>
            <w:tcBorders>
              <w:top w:val="nil"/>
              <w:left w:val="single" w:sz="4" w:space="0" w:color="auto"/>
              <w:bottom w:val="single" w:sz="4" w:space="0" w:color="auto"/>
              <w:right w:val="single" w:sz="4" w:space="0" w:color="auto"/>
            </w:tcBorders>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2.4</w:t>
            </w:r>
          </w:p>
        </w:tc>
        <w:tc>
          <w:tcPr>
            <w:tcW w:w="7229" w:type="dxa"/>
            <w:tcBorders>
              <w:top w:val="nil"/>
              <w:left w:val="single" w:sz="4" w:space="0" w:color="auto"/>
              <w:bottom w:val="single" w:sz="4" w:space="0" w:color="auto"/>
              <w:right w:val="single" w:sz="4" w:space="0" w:color="auto"/>
            </w:tcBorders>
            <w:shd w:val="clear" w:color="auto" w:fill="auto"/>
            <w:noWrap/>
            <w:vAlign w:val="center"/>
          </w:tcPr>
          <w:p w:rsidR="00837C0C" w:rsidRPr="006A18D3" w:rsidRDefault="00837C0C" w:rsidP="00A11535">
            <w:pPr>
              <w:spacing w:after="120"/>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Đã sử dụng cho mục đích khác (ghi rõ từng mục đích)</w:t>
            </w:r>
          </w:p>
        </w:tc>
        <w:tc>
          <w:tcPr>
            <w:tcW w:w="1417" w:type="dxa"/>
            <w:tcBorders>
              <w:top w:val="nil"/>
              <w:left w:val="nil"/>
              <w:bottom w:val="single" w:sz="4" w:space="0" w:color="auto"/>
              <w:right w:val="single" w:sz="4" w:space="0" w:color="auto"/>
            </w:tcBorders>
            <w:shd w:val="clear" w:color="auto" w:fill="auto"/>
            <w:noWrap/>
            <w:vAlign w:val="center"/>
          </w:tcPr>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p>
        </w:tc>
      </w:tr>
    </w:tbl>
    <w:p w:rsidR="00837C0C" w:rsidRPr="006A18D3" w:rsidRDefault="00837C0C" w:rsidP="00837C0C">
      <w:pPr>
        <w:spacing w:after="120"/>
        <w:jc w:val="both"/>
        <w:rPr>
          <w:rFonts w:asciiTheme="majorHAnsi" w:hAnsiTheme="majorHAnsi" w:cstheme="majorHAnsi"/>
          <w:i/>
          <w:noProof/>
          <w:color w:val="000000"/>
          <w:sz w:val="28"/>
          <w:szCs w:val="28"/>
          <w:lang w:val="en-GB"/>
        </w:rPr>
      </w:pPr>
      <w:r w:rsidRPr="006A18D3">
        <w:rPr>
          <w:rFonts w:asciiTheme="majorHAnsi" w:hAnsiTheme="majorHAnsi" w:cstheme="majorHAnsi"/>
          <w:i/>
          <w:noProof/>
          <w:color w:val="000000"/>
          <w:sz w:val="28"/>
          <w:szCs w:val="28"/>
          <w:lang w:val="en-GB"/>
        </w:rPr>
        <w:t>Tổ chức tín dụng chịu trách nhiệm và cam kết các số liệu tại Báo cáo này là chính xác, tổ chức tín dụng không có (hoặc đã sử dụng hết) giấy tờ có giá thuộc danh mục giấy tờ có giá được sử dụng trong các giao dịch của Ngân hàng Nhà nước Việt Nam.</w:t>
      </w:r>
    </w:p>
    <w:p w:rsidR="00837C0C" w:rsidRPr="006A18D3" w:rsidRDefault="00837C0C" w:rsidP="00837C0C">
      <w:pPr>
        <w:spacing w:after="120"/>
        <w:jc w:val="right"/>
        <w:rPr>
          <w:rFonts w:asciiTheme="majorHAnsi" w:hAnsiTheme="majorHAnsi" w:cstheme="majorHAnsi"/>
          <w:i/>
          <w:noProof/>
          <w:color w:val="000000"/>
          <w:sz w:val="28"/>
          <w:szCs w:val="28"/>
          <w:lang w:val="en-GB"/>
        </w:rPr>
      </w:pPr>
      <w:r w:rsidRPr="006A18D3">
        <w:rPr>
          <w:rFonts w:asciiTheme="majorHAnsi" w:hAnsiTheme="majorHAnsi" w:cstheme="majorHAnsi"/>
          <w:i/>
          <w:noProof/>
          <w:color w:val="000000"/>
          <w:sz w:val="28"/>
          <w:szCs w:val="28"/>
          <w:lang w:val="en-GB"/>
        </w:rPr>
        <w:t>…….., ngày ...... tháng …… năm ......</w:t>
      </w:r>
    </w:p>
    <w:tbl>
      <w:tblPr>
        <w:tblW w:w="9498" w:type="dxa"/>
        <w:tblInd w:w="-34" w:type="dxa"/>
        <w:tblLook w:val="04A0"/>
      </w:tblPr>
      <w:tblGrid>
        <w:gridCol w:w="2410"/>
        <w:gridCol w:w="2551"/>
        <w:gridCol w:w="4537"/>
      </w:tblGrid>
      <w:tr w:rsidR="00837C0C" w:rsidRPr="006A18D3" w:rsidTr="00A11535">
        <w:tc>
          <w:tcPr>
            <w:tcW w:w="2410" w:type="dxa"/>
            <w:hideMark/>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lastRenderedPageBreak/>
              <w:t>Lập biểu</w:t>
            </w:r>
          </w:p>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noProof/>
                <w:color w:val="000000"/>
                <w:sz w:val="28"/>
                <w:szCs w:val="28"/>
                <w:lang w:val="en-GB"/>
              </w:rPr>
              <w:t>(Ký, ghi rõ họ tên)</w:t>
            </w:r>
          </w:p>
        </w:tc>
        <w:tc>
          <w:tcPr>
            <w:tcW w:w="2551" w:type="dxa"/>
            <w:hideMark/>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Kiểm soát</w:t>
            </w:r>
          </w:p>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(Ký, ghi rõ họ tên)</w:t>
            </w:r>
          </w:p>
        </w:tc>
        <w:tc>
          <w:tcPr>
            <w:tcW w:w="4537" w:type="dxa"/>
            <w:vAlign w:val="center"/>
            <w:hideMark/>
          </w:tcPr>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Người đại diện hợp pháp</w:t>
            </w:r>
          </w:p>
          <w:p w:rsidR="00837C0C" w:rsidRPr="006A18D3" w:rsidRDefault="00837C0C" w:rsidP="00A11535">
            <w:pPr>
              <w:spacing w:after="120"/>
              <w:jc w:val="center"/>
              <w:rPr>
                <w:rFonts w:asciiTheme="majorHAnsi" w:hAnsiTheme="majorHAnsi" w:cstheme="majorHAnsi"/>
                <w:b/>
                <w:noProof/>
                <w:color w:val="000000"/>
                <w:sz w:val="28"/>
                <w:szCs w:val="28"/>
                <w:lang w:val="en-GB"/>
              </w:rPr>
            </w:pPr>
            <w:r w:rsidRPr="006A18D3">
              <w:rPr>
                <w:rFonts w:asciiTheme="majorHAnsi" w:hAnsiTheme="majorHAnsi" w:cstheme="majorHAnsi"/>
                <w:b/>
                <w:noProof/>
                <w:color w:val="000000"/>
                <w:sz w:val="28"/>
                <w:szCs w:val="28"/>
                <w:lang w:val="en-GB"/>
              </w:rPr>
              <w:t xml:space="preserve"> của tổ chức tín dụng</w:t>
            </w:r>
          </w:p>
          <w:p w:rsidR="00837C0C" w:rsidRPr="006A18D3" w:rsidRDefault="00837C0C" w:rsidP="00A11535">
            <w:pPr>
              <w:spacing w:after="120"/>
              <w:jc w:val="center"/>
              <w:rPr>
                <w:rFonts w:asciiTheme="majorHAnsi" w:hAnsiTheme="majorHAnsi" w:cstheme="majorHAnsi"/>
                <w:noProof/>
                <w:color w:val="000000"/>
                <w:sz w:val="28"/>
                <w:szCs w:val="28"/>
                <w:lang w:val="en-GB"/>
              </w:rPr>
            </w:pPr>
            <w:r w:rsidRPr="006A18D3">
              <w:rPr>
                <w:rFonts w:asciiTheme="majorHAnsi" w:hAnsiTheme="majorHAnsi" w:cstheme="majorHAnsi"/>
                <w:noProof/>
                <w:color w:val="000000"/>
                <w:sz w:val="28"/>
                <w:szCs w:val="28"/>
                <w:lang w:val="en-GB"/>
              </w:rPr>
              <w:t>(</w:t>
            </w:r>
            <w:r w:rsidRPr="006A18D3">
              <w:rPr>
                <w:rFonts w:asciiTheme="majorHAnsi" w:eastAsia="Calibri" w:hAnsiTheme="majorHAnsi" w:cstheme="majorHAnsi"/>
                <w:noProof/>
                <w:color w:val="000000"/>
                <w:sz w:val="28"/>
                <w:szCs w:val="28"/>
                <w:lang w:val="en-GB"/>
              </w:rPr>
              <w:t>Ký, ghi rõ chức danh, họ tên và đóng dấu</w:t>
            </w:r>
            <w:r w:rsidRPr="006A18D3">
              <w:rPr>
                <w:rFonts w:asciiTheme="majorHAnsi" w:hAnsiTheme="majorHAnsi" w:cstheme="majorHAnsi"/>
                <w:noProof/>
                <w:color w:val="000000"/>
                <w:sz w:val="28"/>
                <w:szCs w:val="28"/>
                <w:lang w:val="en-GB"/>
              </w:rPr>
              <w:t>)</w:t>
            </w:r>
          </w:p>
        </w:tc>
      </w:tr>
    </w:tbl>
    <w:p w:rsidR="00837C0C" w:rsidRPr="006A18D3" w:rsidRDefault="00837C0C" w:rsidP="00837C0C">
      <w:pPr>
        <w:spacing w:after="120"/>
        <w:ind w:right="255"/>
        <w:jc w:val="both"/>
        <w:rPr>
          <w:rFonts w:asciiTheme="majorHAnsi" w:eastAsia="Calibri" w:hAnsiTheme="majorHAnsi" w:cstheme="majorHAnsi"/>
          <w:b/>
          <w:noProof/>
          <w:color w:val="000000"/>
          <w:sz w:val="28"/>
          <w:szCs w:val="28"/>
          <w:lang w:val="en-GB"/>
        </w:rPr>
      </w:pPr>
    </w:p>
    <w:p w:rsidR="00837C0C" w:rsidRPr="006A18D3" w:rsidRDefault="00837C0C" w:rsidP="00837C0C">
      <w:pPr>
        <w:spacing w:after="120"/>
        <w:ind w:right="255"/>
        <w:jc w:val="both"/>
        <w:rPr>
          <w:rFonts w:asciiTheme="majorHAnsi" w:eastAsia="Calibri" w:hAnsiTheme="majorHAnsi" w:cstheme="majorHAnsi"/>
          <w:b/>
          <w:noProof/>
          <w:color w:val="000000"/>
          <w:sz w:val="28"/>
          <w:szCs w:val="28"/>
          <w:lang w:val="en-GB"/>
        </w:rPr>
      </w:pPr>
    </w:p>
    <w:p w:rsidR="00837C0C" w:rsidRPr="006A18D3" w:rsidRDefault="00837C0C" w:rsidP="00837C0C">
      <w:pPr>
        <w:spacing w:after="120"/>
        <w:ind w:right="255"/>
        <w:jc w:val="both"/>
        <w:rPr>
          <w:rFonts w:asciiTheme="majorHAnsi" w:eastAsia="Calibri" w:hAnsiTheme="majorHAnsi" w:cstheme="majorHAnsi"/>
          <w:b/>
          <w:noProof/>
          <w:color w:val="000000"/>
          <w:sz w:val="28"/>
          <w:szCs w:val="28"/>
          <w:lang w:val="en-GB"/>
        </w:rPr>
      </w:pPr>
    </w:p>
    <w:p w:rsidR="00837C0C" w:rsidRPr="006A18D3" w:rsidRDefault="00837C0C" w:rsidP="00837C0C">
      <w:pPr>
        <w:spacing w:after="120"/>
        <w:ind w:right="255"/>
        <w:jc w:val="both"/>
        <w:rPr>
          <w:rFonts w:asciiTheme="majorHAnsi" w:eastAsia="Calibri" w:hAnsiTheme="majorHAnsi" w:cstheme="majorHAnsi"/>
          <w:b/>
          <w:noProof/>
          <w:color w:val="000000"/>
          <w:sz w:val="28"/>
          <w:szCs w:val="28"/>
          <w:lang w:val="en-GB"/>
        </w:rPr>
      </w:pPr>
    </w:p>
    <w:p w:rsidR="00837C0C" w:rsidRPr="006A18D3" w:rsidRDefault="00837C0C" w:rsidP="00837C0C">
      <w:pPr>
        <w:spacing w:after="120"/>
        <w:ind w:right="255"/>
        <w:jc w:val="both"/>
        <w:rPr>
          <w:rFonts w:asciiTheme="majorHAnsi" w:eastAsia="Calibri" w:hAnsiTheme="majorHAnsi" w:cstheme="majorHAnsi"/>
          <w:b/>
          <w:noProof/>
          <w:color w:val="000000"/>
          <w:sz w:val="28"/>
          <w:szCs w:val="28"/>
          <w:lang w:val="en-GB"/>
        </w:rPr>
      </w:pPr>
    </w:p>
    <w:p w:rsidR="00837C0C" w:rsidRPr="006A18D3" w:rsidRDefault="00837C0C" w:rsidP="00837C0C">
      <w:pPr>
        <w:spacing w:after="120"/>
        <w:ind w:right="255" w:firstLine="709"/>
        <w:jc w:val="both"/>
        <w:rPr>
          <w:rFonts w:asciiTheme="majorHAnsi" w:eastAsia="Calibri" w:hAnsiTheme="majorHAnsi" w:cstheme="majorHAnsi"/>
          <w:noProof/>
          <w:color w:val="000000"/>
          <w:sz w:val="28"/>
          <w:szCs w:val="28"/>
          <w:lang w:val="en-GB"/>
        </w:rPr>
      </w:pPr>
      <w:r w:rsidRPr="006A18D3">
        <w:rPr>
          <w:rFonts w:asciiTheme="majorHAnsi" w:eastAsia="Calibri" w:hAnsiTheme="majorHAnsi" w:cstheme="majorHAnsi"/>
          <w:b/>
          <w:noProof/>
          <w:color w:val="000000"/>
          <w:sz w:val="28"/>
          <w:szCs w:val="28"/>
          <w:lang w:val="en-GB"/>
        </w:rPr>
        <w:t>Hướng dẫn lập báo cáo:</w:t>
      </w:r>
      <w:r w:rsidRPr="006A18D3">
        <w:rPr>
          <w:rFonts w:asciiTheme="majorHAnsi" w:eastAsia="Calibri" w:hAnsiTheme="majorHAnsi" w:cstheme="majorHAnsi"/>
          <w:noProof/>
          <w:color w:val="000000"/>
          <w:sz w:val="28"/>
          <w:szCs w:val="28"/>
          <w:lang w:val="en-GB"/>
        </w:rPr>
        <w:t xml:space="preserve"> Số liệu báo cáo tại ngày tổ chức tín dụng có Giấy đề nghị vay tái cấp vốn hoặc Giấy đề nghị gia hạn vay tái cấp vốn.</w:t>
      </w:r>
    </w:p>
    <w:p w:rsidR="00837C0C" w:rsidRPr="006A18D3" w:rsidRDefault="00837C0C" w:rsidP="00837C0C">
      <w:pPr>
        <w:spacing w:after="120"/>
        <w:jc w:val="center"/>
        <w:rPr>
          <w:rFonts w:asciiTheme="majorHAnsi" w:eastAsia="Calibri" w:hAnsiTheme="majorHAnsi" w:cstheme="majorHAnsi"/>
          <w:i/>
          <w:noProof/>
          <w:color w:val="000000"/>
          <w:sz w:val="28"/>
          <w:szCs w:val="28"/>
          <w:lang w:val="en-GB"/>
        </w:rPr>
      </w:pPr>
    </w:p>
    <w:p w:rsidR="009A36CF" w:rsidRDefault="009A36CF" w:rsidP="00837C0C"/>
    <w:sectPr w:rsidR="009A36CF" w:rsidSect="009A36C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44F" w:rsidRDefault="00B2144F" w:rsidP="00837C0C">
      <w:r>
        <w:separator/>
      </w:r>
    </w:p>
  </w:endnote>
  <w:endnote w:type="continuationSeparator" w:id="1">
    <w:p w:rsidR="00B2144F" w:rsidRDefault="00B2144F" w:rsidP="00837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2256"/>
      <w:docPartObj>
        <w:docPartGallery w:val="Page Numbers (Bottom of Page)"/>
        <w:docPartUnique/>
      </w:docPartObj>
    </w:sdtPr>
    <w:sdtContent>
      <w:p w:rsidR="00837C0C" w:rsidRDefault="00837C0C">
        <w:pPr>
          <w:pStyle w:val="Footer"/>
          <w:jc w:val="center"/>
        </w:pPr>
        <w:fldSimple w:instr=" PAGE   \* MERGEFORMAT ">
          <w:r w:rsidR="00B2144F">
            <w:rPr>
              <w:noProof/>
            </w:rPr>
            <w:t>1</w:t>
          </w:r>
        </w:fldSimple>
      </w:p>
    </w:sdtContent>
  </w:sdt>
  <w:p w:rsidR="00837C0C" w:rsidRDefault="00837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44F" w:rsidRDefault="00B2144F" w:rsidP="00837C0C">
      <w:r>
        <w:separator/>
      </w:r>
    </w:p>
  </w:footnote>
  <w:footnote w:type="continuationSeparator" w:id="1">
    <w:p w:rsidR="00B2144F" w:rsidRDefault="00B2144F" w:rsidP="00837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kAnnotations="0"/>
  <w:defaultTabStop w:val="720"/>
  <w:characterSpacingControl w:val="doNotCompress"/>
  <w:savePreviewPicture/>
  <w:footnotePr>
    <w:footnote w:id="0"/>
    <w:footnote w:id="1"/>
  </w:footnotePr>
  <w:endnotePr>
    <w:endnote w:id="0"/>
    <w:endnote w:id="1"/>
  </w:endnotePr>
  <w:compat/>
  <w:rsids>
    <w:rsidRoot w:val="00837C0C"/>
    <w:rsid w:val="00837C0C"/>
    <w:rsid w:val="008D0355"/>
    <w:rsid w:val="009A36CF"/>
    <w:rsid w:val="00B2144F"/>
    <w:rsid w:val="00CD2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0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7C0C"/>
    <w:pPr>
      <w:tabs>
        <w:tab w:val="center" w:pos="4680"/>
        <w:tab w:val="right" w:pos="9360"/>
      </w:tabs>
    </w:pPr>
  </w:style>
  <w:style w:type="character" w:customStyle="1" w:styleId="HeaderChar">
    <w:name w:val="Header Char"/>
    <w:basedOn w:val="DefaultParagraphFont"/>
    <w:link w:val="Header"/>
    <w:uiPriority w:val="99"/>
    <w:semiHidden/>
    <w:rsid w:val="00837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7C0C"/>
    <w:pPr>
      <w:tabs>
        <w:tab w:val="center" w:pos="4680"/>
        <w:tab w:val="right" w:pos="9360"/>
      </w:tabs>
    </w:pPr>
  </w:style>
  <w:style w:type="character" w:customStyle="1" w:styleId="FooterChar">
    <w:name w:val="Footer Char"/>
    <w:basedOn w:val="DefaultParagraphFont"/>
    <w:link w:val="Footer"/>
    <w:uiPriority w:val="99"/>
    <w:rsid w:val="00837C0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2019-12-31T03:14:00Z</dcterms:created>
  <dcterms:modified xsi:type="dcterms:W3CDTF">2019-12-31T03:15:00Z</dcterms:modified>
</cp:coreProperties>
</file>