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141" w:rsidRPr="006A18D3" w:rsidRDefault="00173141" w:rsidP="00173141">
      <w:pPr>
        <w:tabs>
          <w:tab w:val="left" w:pos="6804"/>
        </w:tabs>
        <w:spacing w:after="120"/>
        <w:jc w:val="center"/>
        <w:rPr>
          <w:rFonts w:asciiTheme="majorHAnsi" w:eastAsia="Calibri" w:hAnsiTheme="majorHAnsi" w:cstheme="majorHAnsi"/>
          <w:b/>
          <w:noProof/>
          <w:color w:val="000000"/>
          <w:sz w:val="28"/>
          <w:szCs w:val="28"/>
          <w:lang w:val="en-GB"/>
        </w:rPr>
      </w:pPr>
      <w:r w:rsidRPr="006A18D3">
        <w:rPr>
          <w:rFonts w:asciiTheme="majorHAnsi" w:eastAsia="Calibri" w:hAnsiTheme="majorHAnsi" w:cstheme="majorHAnsi"/>
          <w:b/>
          <w:noProof/>
          <w:color w:val="000000"/>
          <w:sz w:val="28"/>
          <w:szCs w:val="28"/>
          <w:lang w:val="en-GB"/>
        </w:rPr>
        <w:t>Phụ lục số 01</w:t>
      </w:r>
    </w:p>
    <w:p w:rsidR="00173141" w:rsidRPr="006A18D3" w:rsidRDefault="00173141" w:rsidP="00173141">
      <w:pPr>
        <w:tabs>
          <w:tab w:val="left" w:pos="6804"/>
        </w:tabs>
        <w:spacing w:after="120"/>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(Ban hành kèm theo Thông tư số 24/2019/TT-NHNN của Thống đốc Ngân hàng Nhà nước</w:t>
      </w:r>
    </w:p>
    <w:p w:rsidR="00173141" w:rsidRPr="006A18D3" w:rsidRDefault="00173141" w:rsidP="00173141">
      <w:pPr>
        <w:tabs>
          <w:tab w:val="left" w:pos="6804"/>
        </w:tabs>
        <w:spacing w:after="120"/>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 xml:space="preserve"> Việt Nam quy định về tái cấp vốn dưới hình thức cho vay lại theo hồ sơ tín dụng </w:t>
      </w:r>
    </w:p>
    <w:p w:rsidR="00173141" w:rsidRPr="006A18D3" w:rsidRDefault="00173141" w:rsidP="00173141">
      <w:pPr>
        <w:tabs>
          <w:tab w:val="left" w:pos="6804"/>
        </w:tabs>
        <w:spacing w:after="120"/>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đối với tổ chức tín dụng)</w:t>
      </w:r>
    </w:p>
    <w:p w:rsidR="00173141" w:rsidRPr="006A18D3" w:rsidRDefault="00173141" w:rsidP="00173141">
      <w:pPr>
        <w:tabs>
          <w:tab w:val="left" w:pos="6804"/>
        </w:tabs>
        <w:spacing w:after="120"/>
        <w:jc w:val="center"/>
        <w:rPr>
          <w:rFonts w:asciiTheme="majorHAnsi" w:eastAsia="Calibri" w:hAnsiTheme="majorHAnsi" w:cstheme="majorHAnsi"/>
          <w:i/>
          <w:noProof/>
          <w:color w:val="000000"/>
          <w:sz w:val="28"/>
          <w:szCs w:val="28"/>
          <w:lang w:val="en-GB"/>
        </w:rPr>
      </w:pPr>
    </w:p>
    <w:tbl>
      <w:tblPr>
        <w:tblW w:w="0" w:type="auto"/>
        <w:tblLook w:val="04A0"/>
      </w:tblPr>
      <w:tblGrid>
        <w:gridCol w:w="3510"/>
        <w:gridCol w:w="5387"/>
      </w:tblGrid>
      <w:tr w:rsidR="00173141" w:rsidRPr="006A18D3" w:rsidTr="00A11535">
        <w:tc>
          <w:tcPr>
            <w:tcW w:w="3510" w:type="dxa"/>
            <w:hideMark/>
          </w:tcPr>
          <w:p w:rsidR="00173141" w:rsidRPr="006A18D3" w:rsidRDefault="00173141"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Tên tổ chức tín dụng …..</w:t>
            </w:r>
          </w:p>
          <w:p w:rsidR="00173141" w:rsidRPr="006A18D3" w:rsidRDefault="00173141"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b/>
                <w:noProof/>
                <w:color w:val="000000"/>
                <w:sz w:val="28"/>
                <w:szCs w:val="28"/>
                <w:lang w:val="en-GB"/>
              </w:rPr>
              <w:t>Số văn bản: ….</w:t>
            </w:r>
          </w:p>
        </w:tc>
        <w:tc>
          <w:tcPr>
            <w:tcW w:w="5387" w:type="dxa"/>
          </w:tcPr>
          <w:p w:rsidR="00173141" w:rsidRPr="006A18D3" w:rsidRDefault="00173141"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CỘNG HÒA XÃ HỘI CHỦ NGHĨA VIỆT NAM</w:t>
            </w:r>
          </w:p>
          <w:p w:rsidR="00173141" w:rsidRPr="006A18D3" w:rsidRDefault="00173141" w:rsidP="00A11535">
            <w:pPr>
              <w:spacing w:after="120"/>
              <w:jc w:val="center"/>
              <w:rPr>
                <w:rFonts w:asciiTheme="majorHAnsi" w:hAnsiTheme="majorHAnsi" w:cstheme="majorHAnsi"/>
                <w:b/>
                <w:noProof/>
                <w:color w:val="000000"/>
                <w:sz w:val="28"/>
                <w:szCs w:val="28"/>
                <w:lang w:val="en-GB"/>
              </w:rPr>
            </w:pPr>
            <w:r w:rsidRPr="006A18D3">
              <w:rPr>
                <w:rFonts w:asciiTheme="majorHAnsi" w:eastAsia="Calibri" w:hAnsiTheme="majorHAnsi" w:cstheme="majorHAnsi"/>
                <w:i/>
                <w:noProof/>
                <w:color w:val="000000"/>
                <w:sz w:val="28"/>
                <w:szCs w:val="28"/>
              </w:rPr>
              <w:pict>
                <v:shapetype id="_x0000_t32" coordsize="21600,21600" o:spt="32" o:oned="t" path="m,l21600,21600e" filled="f">
                  <v:path arrowok="t" fillok="f" o:connecttype="none"/>
                  <o:lock v:ext="edit" shapetype="t"/>
                </v:shapetype>
                <v:shape id="AutoShape 8" o:spid="_x0000_s1026" type="#_x0000_t32" style="position:absolute;left:0;text-align:left;margin-left:51.3pt;margin-top:15.2pt;width:155.2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BG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" strokeweight=".5pt"/>
              </w:pict>
            </w:r>
            <w:r w:rsidRPr="006A18D3">
              <w:rPr>
                <w:rFonts w:asciiTheme="majorHAnsi" w:hAnsiTheme="majorHAnsi" w:cstheme="majorHAnsi"/>
                <w:b/>
                <w:noProof/>
                <w:color w:val="000000"/>
                <w:sz w:val="28"/>
                <w:szCs w:val="28"/>
                <w:lang w:val="en-GB"/>
              </w:rPr>
              <w:t>Độc lập - Tự do - Hạnh phúc</w:t>
            </w:r>
          </w:p>
          <w:p w:rsidR="00173141" w:rsidRPr="006A18D3" w:rsidRDefault="00173141" w:rsidP="00A11535">
            <w:pPr>
              <w:spacing w:after="120"/>
              <w:jc w:val="center"/>
              <w:rPr>
                <w:rFonts w:asciiTheme="majorHAnsi" w:hAnsiTheme="majorHAnsi" w:cstheme="majorHAnsi"/>
                <w:noProof/>
                <w:color w:val="000000"/>
                <w:sz w:val="28"/>
                <w:szCs w:val="28"/>
                <w:lang w:val="en-GB"/>
              </w:rPr>
            </w:pPr>
            <w:r w:rsidRPr="006A18D3">
              <w:rPr>
                <w:rFonts w:asciiTheme="majorHAnsi" w:eastAsia="Calibri" w:hAnsiTheme="majorHAnsi" w:cstheme="majorHAnsi"/>
                <w:i/>
                <w:noProof/>
                <w:color w:val="000000"/>
                <w:sz w:val="28"/>
                <w:szCs w:val="28"/>
                <w:lang w:val="en-GB"/>
              </w:rPr>
              <w:t>.......</w:t>
            </w:r>
            <w:r w:rsidRPr="006A18D3">
              <w:rPr>
                <w:rFonts w:asciiTheme="majorHAnsi" w:hAnsiTheme="majorHAnsi" w:cstheme="majorHAnsi"/>
                <w:i/>
                <w:iCs/>
                <w:color w:val="000000"/>
                <w:sz w:val="28"/>
                <w:szCs w:val="28"/>
              </w:rPr>
              <w:t>, ngày … tháng … năm …</w:t>
            </w:r>
          </w:p>
        </w:tc>
      </w:tr>
    </w:tbl>
    <w:p w:rsidR="00173141" w:rsidRPr="006A18D3" w:rsidRDefault="00173141" w:rsidP="00173141">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GIẤY ĐỀ NGHỊ VAY TÁI CẤP VỐN</w:t>
      </w:r>
    </w:p>
    <w:p w:rsidR="00173141" w:rsidRPr="006A18D3" w:rsidRDefault="00173141" w:rsidP="00173141">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Dưới hình thức cho vay lại theo hồ sơ tín dụng</w:t>
      </w:r>
    </w:p>
    <w:p w:rsidR="00173141" w:rsidRPr="006A18D3" w:rsidRDefault="00173141" w:rsidP="00173141">
      <w:pPr>
        <w:spacing w:after="120"/>
        <w:ind w:firstLine="720"/>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Kính gửi: Ngân hàng Nhà nước Việt Nam (qua Vụ Chính sách tiền tệ)</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Tên tổ chức tín dụng: …</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Địa chỉ: …</w:t>
      </w:r>
      <w:r w:rsidRPr="006A18D3">
        <w:rPr>
          <w:rFonts w:asciiTheme="majorHAnsi" w:hAnsiTheme="majorHAnsi" w:cstheme="majorHAnsi"/>
          <w:noProof/>
          <w:color w:val="000000"/>
          <w:sz w:val="28"/>
          <w:szCs w:val="28"/>
          <w:lang w:val="en-GB"/>
        </w:rPr>
        <w:tab/>
      </w:r>
      <w:r w:rsidRPr="006A18D3">
        <w:rPr>
          <w:rFonts w:asciiTheme="majorHAnsi" w:hAnsiTheme="majorHAnsi" w:cstheme="majorHAnsi"/>
          <w:noProof/>
          <w:color w:val="000000"/>
          <w:sz w:val="28"/>
          <w:szCs w:val="28"/>
          <w:lang w:val="en-GB"/>
        </w:rPr>
        <w:tab/>
      </w:r>
      <w:r w:rsidRPr="006A18D3">
        <w:rPr>
          <w:rFonts w:asciiTheme="majorHAnsi" w:hAnsiTheme="majorHAnsi" w:cstheme="majorHAnsi"/>
          <w:noProof/>
          <w:color w:val="000000"/>
          <w:sz w:val="28"/>
          <w:szCs w:val="28"/>
          <w:lang w:val="en-GB"/>
        </w:rPr>
        <w:tab/>
        <w:t xml:space="preserve">Điện thoại: … </w:t>
      </w:r>
      <w:r w:rsidRPr="006A18D3">
        <w:rPr>
          <w:rFonts w:asciiTheme="majorHAnsi" w:hAnsiTheme="majorHAnsi" w:cstheme="majorHAnsi"/>
          <w:noProof/>
          <w:color w:val="000000"/>
          <w:sz w:val="28"/>
          <w:szCs w:val="28"/>
          <w:lang w:val="en-GB"/>
        </w:rPr>
        <w:tab/>
      </w:r>
      <w:r w:rsidRPr="006A18D3">
        <w:rPr>
          <w:rFonts w:asciiTheme="majorHAnsi" w:hAnsiTheme="majorHAnsi" w:cstheme="majorHAnsi"/>
          <w:noProof/>
          <w:color w:val="000000"/>
          <w:sz w:val="28"/>
          <w:szCs w:val="28"/>
          <w:lang w:val="en-GB"/>
        </w:rPr>
        <w:tab/>
        <w:t>Fax:…</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Số hiệu tài khoản thanh toán bằng VND: … tại Sở Giao dịch Ngân hàng Nhà nước Việt Nam hoặc tại Ngân hàng Nhà nước Việt Nam chi nhánh tỉnh, thành phố … (nơi dự kiến nhận giải ngân tiền vay tái cấp vốn)</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 xml:space="preserve">Căn cứ Nghị định số … của Chính phủ </w:t>
      </w:r>
      <w:r w:rsidRPr="006A18D3">
        <w:rPr>
          <w:rFonts w:asciiTheme="majorHAnsi" w:hAnsiTheme="majorHAnsi" w:cstheme="majorHAnsi"/>
          <w:bCs/>
          <w:noProof/>
          <w:color w:val="000000"/>
          <w:sz w:val="28"/>
          <w:szCs w:val="28"/>
          <w:lang w:val="en-GB"/>
        </w:rPr>
        <w:t xml:space="preserve">quy định </w:t>
      </w:r>
      <w:r w:rsidRPr="006A18D3">
        <w:rPr>
          <w:rFonts w:asciiTheme="majorHAnsi" w:hAnsiTheme="majorHAnsi" w:cstheme="majorHAnsi"/>
          <w:noProof/>
          <w:color w:val="000000"/>
          <w:sz w:val="28"/>
          <w:szCs w:val="28"/>
          <w:lang w:val="en-GB"/>
        </w:rPr>
        <w:t xml:space="preserve">Ngân hàng Nhà nước Việt Nam thực hiện chính sách hỗ trợ cho vay đối với ngành, lĩnh vực … (nêu cụ thể ngành, lĩnh vực) thông qua công cụ chính sách tiền tệ (trường hợp vay tái cấp vốn hỗ trợ </w:t>
      </w:r>
      <w:r w:rsidRPr="006A18D3">
        <w:rPr>
          <w:rFonts w:asciiTheme="majorHAnsi" w:hAnsiTheme="majorHAnsi" w:cstheme="majorHAnsi"/>
          <w:bCs/>
          <w:noProof/>
          <w:color w:val="000000"/>
          <w:sz w:val="28"/>
          <w:szCs w:val="28"/>
          <w:lang w:val="en-GB"/>
        </w:rPr>
        <w:t>nguồn vốn cho vay ngành, lĩnh vực được khuyến khích phát triển</w:t>
      </w:r>
      <w:r w:rsidRPr="006A18D3">
        <w:rPr>
          <w:rFonts w:asciiTheme="majorHAnsi" w:hAnsiTheme="majorHAnsi" w:cstheme="majorHAnsi"/>
          <w:noProof/>
          <w:color w:val="000000"/>
          <w:sz w:val="28"/>
          <w:szCs w:val="28"/>
          <w:lang w:val="en-GB"/>
        </w:rPr>
        <w:t xml:space="preserve">); </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Căn cứ Thông tư số 24/2019/TT-NHNN ngày 28 tháng 11 năm 2019 của Thống đốc Ngân hàng Nhà nước Việt Nam quy định về tái cấp vốn dưới hình thức cho vay lại theo hồ sơ tín dụng đối với tổ chức tín dụng;</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Căn cứ tình hình khả năng chi trả của tổ chức tín dụng (trường hợp vay tái cấp vốn hỗ trợ thanh khoản);</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Tổ chức tín dụng … đề nghị Ngân hàng Nhà nước Việt Nam tái cấp vốn dưới hình thức cho vay lại theo hồ sơ tín dụng như sau:</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1. Số tiền đề nghị vay: (bằng số) … đồng, (bằng chữ) … đồng</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2. Mục đích: …</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3. Thời hạn: …</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lastRenderedPageBreak/>
        <w:t>4. Lãi suất: …</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5. Tổng dư nợ gốc của các khoản cho vay trong bảng kê hồ sơ tín dụng để vay tái cấp vốn: … đồng (Bảng kê số … ngày …/…/… đính kèm).</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6. Dự kiến nguồn trả nợ vay tái cấp vốn: …</w:t>
      </w:r>
    </w:p>
    <w:p w:rsidR="00173141" w:rsidRPr="006A18D3" w:rsidRDefault="00173141" w:rsidP="00173141">
      <w:pPr>
        <w:spacing w:after="120"/>
        <w:ind w:firstLine="720"/>
        <w:jc w:val="both"/>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Tổ chức tín dụng cam kết và chịu hoàn toàn trách nhiệm về việc các thông tin, số liệu tại Hồ sơ đề nghị vay tái cấp vốn là chính xác. Tổ chức tín dụng cam kết tuân thủ đúng các quy định về tái cấp vốn dưới hình thức cho vay lại theo hồ sơ tín dụng./.</w:t>
      </w:r>
    </w:p>
    <w:tbl>
      <w:tblPr>
        <w:tblW w:w="8647" w:type="dxa"/>
        <w:tblInd w:w="108" w:type="dxa"/>
        <w:tblLook w:val="04A0"/>
      </w:tblPr>
      <w:tblGrid>
        <w:gridCol w:w="4111"/>
        <w:gridCol w:w="4536"/>
      </w:tblGrid>
      <w:tr w:rsidR="00173141" w:rsidRPr="006A18D3" w:rsidTr="00A11535">
        <w:tc>
          <w:tcPr>
            <w:tcW w:w="4111" w:type="dxa"/>
            <w:hideMark/>
          </w:tcPr>
          <w:p w:rsidR="00173141" w:rsidRPr="006A18D3" w:rsidRDefault="00173141" w:rsidP="00A11535">
            <w:pPr>
              <w:spacing w:after="120"/>
              <w:rPr>
                <w:rFonts w:asciiTheme="majorHAnsi" w:hAnsiTheme="majorHAnsi" w:cstheme="majorHAnsi"/>
                <w:b/>
                <w:i/>
                <w:noProof/>
                <w:color w:val="000000"/>
                <w:sz w:val="28"/>
                <w:szCs w:val="28"/>
                <w:lang w:val="en-GB"/>
              </w:rPr>
            </w:pPr>
            <w:r w:rsidRPr="006A18D3">
              <w:rPr>
                <w:rFonts w:asciiTheme="majorHAnsi" w:hAnsiTheme="majorHAnsi" w:cstheme="majorHAnsi"/>
                <w:b/>
                <w:i/>
                <w:noProof/>
                <w:color w:val="000000"/>
                <w:sz w:val="28"/>
                <w:szCs w:val="28"/>
                <w:lang w:val="en-GB"/>
              </w:rPr>
              <w:t>Nơi nhận:</w:t>
            </w:r>
          </w:p>
          <w:p w:rsidR="00173141" w:rsidRPr="006A18D3" w:rsidRDefault="00173141" w:rsidP="00A11535">
            <w:pPr>
              <w:spacing w:after="120"/>
              <w:rPr>
                <w:rFonts w:asciiTheme="majorHAnsi" w:hAnsiTheme="majorHAnsi" w:cstheme="majorHAnsi"/>
                <w:noProof/>
                <w:color w:val="000000"/>
                <w:sz w:val="28"/>
                <w:szCs w:val="28"/>
                <w:lang w:val="en-GB"/>
              </w:rPr>
            </w:pPr>
            <w:r w:rsidRPr="006A18D3">
              <w:rPr>
                <w:rFonts w:asciiTheme="majorHAnsi" w:hAnsiTheme="majorHAnsi" w:cstheme="majorHAnsi"/>
                <w:b/>
                <w:noProof/>
                <w:color w:val="000000"/>
                <w:sz w:val="28"/>
                <w:szCs w:val="28"/>
                <w:lang w:val="en-GB"/>
              </w:rPr>
              <w:t xml:space="preserve">- </w:t>
            </w:r>
            <w:r w:rsidRPr="006A18D3">
              <w:rPr>
                <w:rFonts w:asciiTheme="majorHAnsi" w:hAnsiTheme="majorHAnsi" w:cstheme="majorHAnsi"/>
                <w:noProof/>
                <w:color w:val="000000"/>
                <w:sz w:val="28"/>
                <w:szCs w:val="28"/>
                <w:lang w:val="en-GB"/>
              </w:rPr>
              <w:t>Như trên;</w:t>
            </w:r>
          </w:p>
          <w:p w:rsidR="00173141" w:rsidRPr="006A18D3" w:rsidRDefault="00173141" w:rsidP="00A11535">
            <w:pPr>
              <w:spacing w:after="120"/>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 Lưu: …</w:t>
            </w:r>
          </w:p>
        </w:tc>
        <w:tc>
          <w:tcPr>
            <w:tcW w:w="4536" w:type="dxa"/>
            <w:vAlign w:val="center"/>
            <w:hideMark/>
          </w:tcPr>
          <w:p w:rsidR="00173141" w:rsidRPr="006A18D3" w:rsidRDefault="00173141"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Người đại diện hợp pháp</w:t>
            </w:r>
          </w:p>
          <w:p w:rsidR="00173141" w:rsidRPr="006A18D3" w:rsidRDefault="00173141"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 xml:space="preserve"> của tổ chức tín dụng</w:t>
            </w:r>
          </w:p>
          <w:p w:rsidR="00173141" w:rsidRPr="006A18D3" w:rsidRDefault="00173141"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r w:rsidRPr="006A18D3">
              <w:rPr>
                <w:rFonts w:asciiTheme="majorHAnsi" w:eastAsia="Calibri" w:hAnsiTheme="majorHAnsi" w:cstheme="majorHAnsi"/>
                <w:noProof/>
                <w:color w:val="000000"/>
                <w:sz w:val="28"/>
                <w:szCs w:val="28"/>
                <w:lang w:val="en-GB"/>
              </w:rPr>
              <w:t>Ký, ghi rõ chức danh, họ tên và đóng dấu</w:t>
            </w:r>
            <w:r w:rsidRPr="006A18D3">
              <w:rPr>
                <w:rFonts w:asciiTheme="majorHAnsi" w:hAnsiTheme="majorHAnsi" w:cstheme="majorHAnsi"/>
                <w:noProof/>
                <w:color w:val="000000"/>
                <w:sz w:val="28"/>
                <w:szCs w:val="28"/>
                <w:lang w:val="en-GB"/>
              </w:rPr>
              <w:t>)</w:t>
            </w:r>
          </w:p>
        </w:tc>
      </w:tr>
    </w:tbl>
    <w:p w:rsidR="009A36CF" w:rsidRDefault="009A36CF"/>
    <w:sectPr w:rsidR="009A36CF" w:rsidSect="009A36C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4B2" w:rsidRDefault="009D34B2" w:rsidP="00173141">
      <w:r>
        <w:separator/>
      </w:r>
    </w:p>
  </w:endnote>
  <w:endnote w:type="continuationSeparator" w:id="1">
    <w:p w:rsidR="009D34B2" w:rsidRDefault="009D34B2" w:rsidP="001731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2252"/>
      <w:docPartObj>
        <w:docPartGallery w:val="Page Numbers (Bottom of Page)"/>
        <w:docPartUnique/>
      </w:docPartObj>
    </w:sdtPr>
    <w:sdtContent>
      <w:p w:rsidR="00173141" w:rsidRDefault="00173141">
        <w:pPr>
          <w:pStyle w:val="Footer"/>
          <w:jc w:val="center"/>
        </w:pPr>
        <w:fldSimple w:instr=" PAGE   \* MERGEFORMAT ">
          <w:r w:rsidR="009D34B2">
            <w:rPr>
              <w:noProof/>
            </w:rPr>
            <w:t>1</w:t>
          </w:r>
        </w:fldSimple>
      </w:p>
    </w:sdtContent>
  </w:sdt>
  <w:p w:rsidR="00173141" w:rsidRDefault="001731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4B2" w:rsidRDefault="009D34B2" w:rsidP="00173141">
      <w:r>
        <w:separator/>
      </w:r>
    </w:p>
  </w:footnote>
  <w:footnote w:type="continuationSeparator" w:id="1">
    <w:p w:rsidR="009D34B2" w:rsidRDefault="009D34B2" w:rsidP="00173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173141"/>
    <w:rsid w:val="00173141"/>
    <w:rsid w:val="008D0355"/>
    <w:rsid w:val="009A36CF"/>
    <w:rsid w:val="009D34B2"/>
    <w:rsid w:val="00CD2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4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3141"/>
    <w:pPr>
      <w:tabs>
        <w:tab w:val="center" w:pos="4680"/>
        <w:tab w:val="right" w:pos="9360"/>
      </w:tabs>
    </w:pPr>
  </w:style>
  <w:style w:type="character" w:customStyle="1" w:styleId="HeaderChar">
    <w:name w:val="Header Char"/>
    <w:basedOn w:val="DefaultParagraphFont"/>
    <w:link w:val="Header"/>
    <w:uiPriority w:val="99"/>
    <w:semiHidden/>
    <w:rsid w:val="001731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3141"/>
    <w:pPr>
      <w:tabs>
        <w:tab w:val="center" w:pos="4680"/>
        <w:tab w:val="right" w:pos="9360"/>
      </w:tabs>
    </w:pPr>
  </w:style>
  <w:style w:type="character" w:customStyle="1" w:styleId="FooterChar">
    <w:name w:val="Footer Char"/>
    <w:basedOn w:val="DefaultParagraphFont"/>
    <w:link w:val="Footer"/>
    <w:uiPriority w:val="99"/>
    <w:rsid w:val="001731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2019-12-31T03:10:00Z</dcterms:created>
  <dcterms:modified xsi:type="dcterms:W3CDTF">2019-12-31T03:11:00Z</dcterms:modified>
</cp:coreProperties>
</file>